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WAIVERS FROM ADMINISTRATIVE RULES</w:t>
      </w:r>
      <w:r>
        <w:br/>
      </w:r>
      <w:r>
        <w:rPr>
          <w:rFonts w:ascii="Times New Roman" w:hAnsi="Times New Roman"/>
          <w:b w:val="false"/>
          <w:i w:val="false"/>
          <w:color w:val="000000"/>
          <w:sz w:val="21"/>
        </w:rPr>
        <w:t>BY THE BOILER AND PRESSURE VESSEL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875—81.1</w:t>
      </w:r>
      <w:r>
        <w:rPr>
          <w:rFonts w:ascii="Times New Roman" w:hAnsi="Times New Roman"/>
          <w:b/>
          <w:i w:val="false"/>
          <w:color w:val="000000"/>
          <w:sz w:val="22"/>
        </w:rPr>
        <w:t xml:space="preserve">(17A,89) </w:t>
      </w:r>
      <w:r>
        <w:rPr>
          <w:rFonts w:ascii="Times New Roman" w:hAnsi="Times New Roman"/>
          <w:b/>
          <w:i w:val="false"/>
          <w:color w:val="000000"/>
          <w:sz w:val="22"/>
        </w:rPr>
        <w:t xml:space="preserve">Waivers of rules. </w:t>
      </w:r>
      <w:r>
        <w:rPr>
          <w:rFonts w:ascii="Times New Roman" w:hAnsi="Times New Roman"/>
          <w:b w:val="false"/>
          <w:i w:val="false"/>
          <w:color w:val="000000"/>
          <w:sz w:val="22"/>
        </w:rPr>
        <w:t>This chapter outlines generally applicable standards and a uniform process for the granting of individual waivers from rules adopted by the board.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875—81.2</w:t>
      </w:r>
      <w:r>
        <w:rPr>
          <w:rFonts w:ascii="Times New Roman" w:hAnsi="Times New Roman"/>
          <w:b/>
          <w:i w:val="false"/>
          <w:color w:val="000000"/>
          <w:sz w:val="22"/>
        </w:rPr>
        <w:t xml:space="preserve">(17A,89) </w:t>
      </w:r>
      <w:r>
        <w:rPr>
          <w:rFonts w:ascii="Times New Roman" w:hAnsi="Times New Roman"/>
          <w:b/>
          <w:i w:val="false"/>
          <w:color w:val="000000"/>
          <w:sz w:val="22"/>
        </w:rPr>
        <w:t xml:space="preserve">Applicability of rule.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ind w:left="120"/>
        <w:jc w:val="both"/>
      </w:pPr>
      <w:r>
        <w:rPr>
          <w:rFonts w:ascii="Times New Roman" w:hAnsi="Times New Roman"/>
          <w:b/>
          <w:i w:val="false"/>
          <w:color w:val="000000"/>
          <w:sz w:val="22"/>
        </w:rPr>
        <w:t>875—81.3</w:t>
      </w:r>
      <w:r>
        <w:rPr>
          <w:rFonts w:ascii="Times New Roman" w:hAnsi="Times New Roman"/>
          <w:b/>
          <w:i w:val="false"/>
          <w:color w:val="000000"/>
          <w:sz w:val="22"/>
        </w:rPr>
        <w:t xml:space="preserve">(17A,89)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completed pursuant to this chapter, the board may, in its sole discretion, issue an order waiving, in whole or in part, the requirements of a rule as applied to an identified person on the basis of the particular circumstances of that person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875—81.4</w:t>
      </w:r>
      <w:r>
        <w:rPr>
          <w:rFonts w:ascii="Times New Roman" w:hAnsi="Times New Roman"/>
          <w:b/>
          <w:i w:val="false"/>
          <w:color w:val="000000"/>
          <w:sz w:val="22"/>
        </w:rPr>
        <w:t xml:space="preserve">(17A,89)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with a caption containing the name of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and related materials for consideration should be sent to the Boiler and Pressure Vessel Board, Department of Workforce Development, Division of Labor Services, 150 Des Moines Street,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875—81.5</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 xml:space="preserve">The required form for a petition for waiver is available on the board’s website at </w:t>
      </w:r>
      <w:hyperlink r:id="rId5">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rule </w:t>
      </w:r>
      <w:hyperlink r:id="rId6">
        <w:r>
          <w:rPr>
            <w:rStyle w:val="Hyperlink"/>
            <w:rFonts w:ascii="Times New Roman" w:hAnsi="Times New Roman"/>
            <w:b w:val="false"/>
            <w:i w:val="false"/>
            <w:color w:val="000000"/>
            <w:sz w:val="22"/>
          </w:rPr>
          <w:t>875—81.3(17A,89)</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other departments or agencies of the state of Iowa, or political subdivisions and the petitioner relating to the boiler or pressure vessel affected by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board’s action in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of any entity or person who would be adversely affected by the granting of a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petition to furnish the board with information relevant to the petition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81.5(11)</w:t>
      </w:r>
      <w:r>
        <w:rPr>
          <w:rFonts w:ascii="Times New Roman" w:hAnsi="Times New Roman"/>
          <w:b w:val="false"/>
          <w:i w:val="false"/>
          <w:color w:val="000000"/>
          <w:sz w:val="22"/>
        </w:rPr>
        <w:t> </w:t>
      </w:r>
      <w:r>
        <w:rPr>
          <w:rFonts w:ascii="Times New Roman" w:hAnsi="Times New Roman"/>
          <w:b w:val="false"/>
          <w:i w:val="false"/>
          <w:color w:val="000000"/>
          <w:sz w:val="22"/>
        </w:rPr>
        <w:t>The state boiler identification number of the relevant object.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875—81.6</w:t>
      </w:r>
      <w:r>
        <w:rPr>
          <w:rFonts w:ascii="Times New Roman" w:hAnsi="Times New Roman"/>
          <w:b/>
          <w:i w:val="false"/>
          <w:color w:val="000000"/>
          <w:sz w:val="22"/>
        </w:rPr>
        <w:t xml:space="preserve">(17A,89)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a representative or representatives of the board related to the waiver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875—81.7</w:t>
      </w:r>
      <w:r>
        <w:rPr>
          <w:rFonts w:ascii="Times New Roman" w:hAnsi="Times New Roman"/>
          <w:b/>
          <w:i w:val="false"/>
          <w:color w:val="000000"/>
          <w:sz w:val="22"/>
        </w:rPr>
        <w:t xml:space="preserve">(17A,89)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within 10 days of its receipt in the board office. The board shall ensure that notice of the pending petition has been provided to all persons to whom notice is required by any provision of law within 30 days of the receipt of the petition. In addition, the board may give notice to other persons. To accomplish this notice provision, the board may require the petitioner to serve the notice on all persons to whom notice is required by any provision of law and to provide a written statement to the board attesting that notice has been provided.</w:t>
      </w:r>
    </w:p>
    <w:p>
      <w:pPr>
        <w:spacing w:before="0" w:after="0"/>
        <w:ind w:left="120"/>
        <w:jc w:val="both"/>
      </w:pPr>
      <w:r>
        <w:rPr>
          <w:rFonts w:ascii="Times New Roman" w:hAnsi="Times New Roman"/>
          <w:b/>
          <w:i w:val="false"/>
          <w:color w:val="000000"/>
          <w:sz w:val="22"/>
        </w:rPr>
        <w:t>875—81.8</w:t>
      </w:r>
      <w:r>
        <w:rPr>
          <w:rFonts w:ascii="Times New Roman" w:hAnsi="Times New Roman"/>
          <w:b/>
          <w:i w:val="false"/>
          <w:color w:val="000000"/>
          <w:sz w:val="22"/>
        </w:rPr>
        <w:t xml:space="preserve">(17A,89)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val="false"/>
          <w:color w:val="000000"/>
          <w:sz w:val="22"/>
        </w:rPr>
        <w:t>Unless the board makes other arrangements, petitions for waiver will be reviewed and may be granted or denied at the next scheduled board meeting following receipt of the petition. However, if the petition is received less than three weeks prior to the scheduled board meeting, the petition will be reviewed at the subsequent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val="false"/>
          <w:color w:val="000000"/>
          <w:sz w:val="22"/>
        </w:rPr>
        <w:t>The petitioner shall be provided a reasonable opportunity to make a presentation to the board. The length of time allotted for presentation shall be reasonable in light of the complexity and number of issues involved.</w:t>
      </w:r>
    </w:p>
    <w:p>
      <w:pPr>
        <w:spacing w:before="210" w:after="0"/>
        <w:ind w:left="120"/>
        <w:jc w:val="both"/>
      </w:pPr>
      <w:r>
        <w:rPr>
          <w:rFonts w:ascii="Times New Roman" w:hAnsi="Times New Roman"/>
          <w:b/>
          <w:i w:val="false"/>
          <w:color w:val="000000"/>
          <w:sz w:val="22"/>
        </w:rPr>
        <w:t>875—81.9</w:t>
      </w:r>
      <w:r>
        <w:rPr>
          <w:rFonts w:ascii="Times New Roman" w:hAnsi="Times New Roman"/>
          <w:b/>
          <w:i w:val="false"/>
          <w:color w:val="000000"/>
          <w:sz w:val="22"/>
        </w:rPr>
        <w:t xml:space="preserve">(17A,89)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board proceedings for a waiver only when the board so provides by order or is required to do so by statute.</w:t>
      </w:r>
    </w:p>
    <w:p>
      <w:pPr>
        <w:spacing w:before="0" w:after="0"/>
        <w:ind w:left="120"/>
        <w:jc w:val="both"/>
      </w:pPr>
      <w:r>
        <w:rPr>
          <w:rFonts w:ascii="Times New Roman" w:hAnsi="Times New Roman"/>
          <w:b/>
          <w:i w:val="false"/>
          <w:color w:val="000000"/>
          <w:sz w:val="22"/>
        </w:rPr>
        <w:t>875—81.10</w:t>
      </w:r>
      <w:r>
        <w:rPr>
          <w:rFonts w:ascii="Times New Roman" w:hAnsi="Times New Roman"/>
          <w:b/>
          <w:i w:val="false"/>
          <w:color w:val="000000"/>
          <w:sz w:val="22"/>
        </w:rPr>
        <w:t xml:space="preserve">(17A,89)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Each petition for a waiver shall be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practical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14 days of the ruling, any order issued under this rule shall be transmitted or delivered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81.10(10)</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room where the object is installed.</w:t>
      </w:r>
    </w:p>
    <w:p>
      <w:pPr>
        <w:spacing w:before="210" w:after="0"/>
        <w:ind w:left="120"/>
        <w:jc w:val="both"/>
      </w:pPr>
      <w:r>
        <w:rPr>
          <w:rFonts w:ascii="Times New Roman" w:hAnsi="Times New Roman"/>
          <w:b/>
          <w:i w:val="false"/>
          <w:color w:val="000000"/>
          <w:sz w:val="22"/>
        </w:rPr>
        <w:t>875—81.11</w:t>
      </w:r>
      <w:r>
        <w:rPr>
          <w:rFonts w:ascii="Times New Roman" w:hAnsi="Times New Roman"/>
          <w:b/>
          <w:i w:val="false"/>
          <w:color w:val="000000"/>
          <w:sz w:val="22"/>
        </w:rPr>
        <w:t xml:space="preserve">(17A,89)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If petitions or orders contain information the board is authorized or required to keep confidential, the board may instruct the board office to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875—81.12</w:t>
      </w:r>
      <w:r>
        <w:rPr>
          <w:rFonts w:ascii="Times New Roman" w:hAnsi="Times New Roman"/>
          <w:b/>
          <w:i w:val="false"/>
          <w:color w:val="000000"/>
          <w:sz w:val="22"/>
        </w:rPr>
        <w:t xml:space="preserve">(17A,89)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Information about all orders granting or denying a waiver petition shall be submitted by the board staff to the legislative services agency through the designated Internet site within 60 days of granting or denying the petition. The information submitted is available to the public via the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875—81.13</w:t>
      </w:r>
      <w:r>
        <w:rPr>
          <w:rFonts w:ascii="Times New Roman" w:hAnsi="Times New Roman"/>
          <w:b/>
          <w:i w:val="false"/>
          <w:color w:val="000000"/>
          <w:sz w:val="22"/>
        </w:rPr>
        <w:t xml:space="preserve">(17A,89)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review,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81.13(2)</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81.13(3)</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875—81.14</w:t>
      </w:r>
      <w:r>
        <w:rPr>
          <w:rFonts w:ascii="Times New Roman" w:hAnsi="Times New Roman"/>
          <w:b/>
          <w:i w:val="false"/>
          <w:color w:val="000000"/>
          <w:sz w:val="22"/>
        </w:rPr>
        <w:t xml:space="preserve">(17A,89)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875—81.15</w:t>
      </w:r>
      <w:r>
        <w:rPr>
          <w:rFonts w:ascii="Times New Roman" w:hAnsi="Times New Roman"/>
          <w:b/>
          <w:i w:val="false"/>
          <w:color w:val="000000"/>
          <w:sz w:val="22"/>
        </w:rPr>
        <w:t xml:space="preserve">(17A,89)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only for the specific object to which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875—81.16</w:t>
      </w:r>
      <w:r>
        <w:rPr>
          <w:rFonts w:ascii="Times New Roman" w:hAnsi="Times New Roman"/>
          <w:b/>
          <w:i w:val="false"/>
          <w:color w:val="000000"/>
          <w:sz w:val="22"/>
        </w:rPr>
        <w:t xml:space="preserve">(17A,89)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2/19/08, Notice 12/19/07—published 3/12/08, effective 4/16/08]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iowaboilers.gov" Type="http://schemas.openxmlformats.org/officeDocument/2006/relationships/hyperlink" Id="rId5"/>
    <Relationship TargetMode="External" Target="https://www.legis.iowa.gov/docs/iac/rule/875.81.3.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8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