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CONVEYANCES INSTALLED ON OR AFTER JANUARY 1, 1975</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72]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875—72.1</w:t>
      </w:r>
      <w:r>
        <w:rPr>
          <w:rFonts w:ascii="Times New Roman" w:hAnsi="Times New Roman"/>
          <w:b/>
          <w:i w:val="false"/>
          <w:color w:val="000000"/>
          <w:sz w:val="22"/>
        </w:rPr>
        <w:t xml:space="preserve">(89A)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contains safety standards covering the design, construction, installation, operation, inspection, testing, maintenance, alteration, and repair of conveyances installed on or after January 1, 1975. The rules of this chapter also apply to previously dormant conveyances that are being reactivated and to reinstalled or moved conveyances. As used in this rule, the word “installation” refers to the date on which a conveyance contractor enters into a contractual agreement pertaining to a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1975, and December 31, 1982, ANSI A17.1 means ANSI A17.1 (1971).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1983, and December 31,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ANSI A17.1 means ANSI A17.1 (1981);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1993, and December 31,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 (1990) and in addition means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ASME A17.1b (1992), Rule 110.11h, for electric elevators installed between July 1, 1993, and December 31, 2000,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ASME A17.1b (1992), Rule 110.11h that is referenced by Rule 300.11, for hydraulic elevators installed between July 1, 1993, and December 31,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(1990);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2001, and December 31,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 (1996 through the 1999 addenda);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(1999),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(1998);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72.1(5)</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2004, and April 4,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 (2000 through the 2003 addenda);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(1999 through the 2001 addenda),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(1998);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72.1(6)</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April 5, 2006, and July 22,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A17.1-2004, A17.1a-2005 and A17.1S-2005;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(2003),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72.1(7)</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July 23, 2008, and July 18,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(2003),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72.1(8)</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July 19, 2012, and January 30,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A17.1-2010/CSA B44-10, except for Rule 2.27.1.1.6;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(2003),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72.1(9)</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31, 2014, and January 14,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A17.1-2010/CSA B44-10, except for Rule 2.27.1.1.6;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(2011),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72.1(10)</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15, 2015, and May 16,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A17.1-2013/CSA B44-13;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(2011),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72.1(11)</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May 17, 2018, and May 31,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A17.1-2016/CSA B44-16;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A17.7-2012/CSA B44.7-12;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A17.8 means ASME A17.8-2016/CSA B44.8-16;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(2014),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(2017), except for requirement 407.4.7.1.2;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72.1(12)</w:t>
      </w:r>
      <w:r>
        <w:rPr>
          <w:rFonts w:ascii="Times New Roman" w:hAnsi="Times New Roman"/>
          <w:b w:val="false"/>
          <w:i w:val="false"/>
          <w:color w:val="000000"/>
          <w:sz w:val="22"/>
        </w:rPr>
        <w:t> </w:t>
      </w:r>
      <w:r>
        <w:rPr>
          <w:rFonts w:ascii="Times New Roman" w:hAnsi="Times New Roman"/>
          <w:b w:val="false"/>
          <w:i w:val="false"/>
          <w:color w:val="000000"/>
          <w:sz w:val="22"/>
        </w:rPr>
        <w:t>For installations on or after June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A17.1-2019/CSA B44-19,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Approaching object detection as described in 2.13.5 is optional;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ASME A17.1-2016/CSA B44-16, requirement 2.13.5, applies if approaching object detection is not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A17.7-2012/CSA B44.7-12;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A17.8 means ASME A17.8-2016/CSA B44.8-16;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(2014),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(2017), except for requirement 407.4.7.1.2;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ASME A17.1, ASME A18.1, and ANSI A117.1 and any other standard adopted herein by reference are applicable as used in this chapter to the extent that the definitions do not conflict with the definitions contained in Iowa Code chapter </w:t>
      </w:r>
      <w:hyperlink r:id="rId5">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these rules. However, the definition of “building code” in ASME A17.1 is modified to exclude the Building Construction and Safety Code (NFPA 5000) and the National Building Code of Canada (NBCC) for any installation after March 1, 2008.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875—72.3</w:t>
      </w:r>
      <w:r>
        <w:rPr>
          <w:rFonts w:ascii="Times New Roman" w:hAnsi="Times New Roman"/>
          <w:b/>
          <w:i w:val="false"/>
          <w:color w:val="000000"/>
          <w:sz w:val="22"/>
        </w:rPr>
        <w:t xml:space="preserve">(89A) </w:t>
      </w:r>
      <w:r>
        <w:rPr>
          <w:rFonts w:ascii="Times New Roman" w:hAnsi="Times New Roman"/>
          <w:b/>
          <w:i w:val="false"/>
          <w:color w:val="000000"/>
          <w:sz w:val="22"/>
        </w:rPr>
        <w:t xml:space="preserve">Accommodating the physically disabled. </w:t>
      </w:r>
      <w:r>
        <w:rPr>
          <w:rFonts w:ascii="Times New Roman" w:hAnsi="Times New Roman"/>
          <w:b w:val="false"/>
          <w:i w:val="false"/>
          <w:color w:val="000000"/>
          <w:sz w:val="22"/>
        </w:rPr>
        <w:t>All passenger elevators installed between January 1, 1975, and December 31, 1982, that are available and intended for public use shall be usable by the physically disabled. All passenger elevators will have control buttons with identifying features for the benefit of the blind and will allow for wheelchair traffic. All passenger elevators and wheelchair lifts installed on or after January 1, 1983, that are accessible to the general public shall comply with Accessible and Usable Buildings and Facilities ANSI A117.1, sections 407 and 408.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875—72.4</w:t>
      </w:r>
      <w:r>
        <w:rPr>
          <w:rFonts w:ascii="Times New Roman" w:hAnsi="Times New Roman"/>
          <w:b/>
          <w:i w:val="false"/>
          <w:color w:val="000000"/>
          <w:sz w:val="22"/>
        </w:rPr>
        <w:t xml:space="preserve">(89A) </w:t>
      </w:r>
      <w:r>
        <w:rPr>
          <w:rFonts w:ascii="Times New Roman" w:hAnsi="Times New Roman"/>
          <w:b/>
          <w:i w:val="false"/>
          <w:color w:val="000000"/>
          <w:sz w:val="22"/>
        </w:rPr>
        <w:t xml:space="preserve">Electric elevators. </w:t>
      </w:r>
      <w:r>
        <w:rPr>
          <w:rFonts w:ascii="Times New Roman" w:hAnsi="Times New Roman"/>
          <w:b w:val="false"/>
          <w:i w:val="false"/>
          <w:color w:val="000000"/>
          <w:sz w:val="22"/>
        </w:rPr>
        <w:t>The provisions contained in ASME A17.1, Part 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875—72.5</w:t>
      </w:r>
      <w:r>
        <w:rPr>
          <w:rFonts w:ascii="Times New Roman" w:hAnsi="Times New Roman"/>
          <w:b/>
          <w:i w:val="false"/>
          <w:color w:val="000000"/>
          <w:sz w:val="22"/>
        </w:rPr>
        <w:t xml:space="preserve">(89A) </w:t>
      </w:r>
      <w:r>
        <w:rPr>
          <w:rFonts w:ascii="Times New Roman" w:hAnsi="Times New Roman"/>
          <w:b/>
          <w:i w:val="false"/>
          <w:color w:val="000000"/>
          <w:sz w:val="22"/>
        </w:rPr>
        <w:t xml:space="preserve">Hydraulic elevators. </w:t>
      </w:r>
      <w:r>
        <w:rPr>
          <w:rFonts w:ascii="Times New Roman" w:hAnsi="Times New Roman"/>
          <w:b w:val="false"/>
          <w:i w:val="false"/>
          <w:color w:val="000000"/>
          <w:sz w:val="22"/>
        </w:rPr>
        <w:t>The provisions contained in ASME A17.1, Part 3,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875—72.6</w:t>
      </w:r>
      <w:r>
        <w:rPr>
          <w:rFonts w:ascii="Times New Roman" w:hAnsi="Times New Roman"/>
          <w:b/>
          <w:i w:val="false"/>
          <w:color w:val="000000"/>
          <w:sz w:val="22"/>
        </w:rPr>
        <w:t xml:space="preserve">(89A) </w:t>
      </w:r>
      <w:r>
        <w:rPr>
          <w:rFonts w:ascii="Times New Roman" w:hAnsi="Times New Roman"/>
          <w:b/>
          <w:i w:val="false"/>
          <w:color w:val="000000"/>
          <w:sz w:val="22"/>
        </w:rPr>
        <w:t xml:space="preserve">Power sidewalk elevators. </w:t>
      </w:r>
      <w:r>
        <w:rPr>
          <w:rFonts w:ascii="Times New Roman" w:hAnsi="Times New Roman"/>
          <w:b w:val="false"/>
          <w:i w:val="false"/>
          <w:color w:val="000000"/>
          <w:sz w:val="22"/>
        </w:rPr>
        <w:t>The provisions contained in ASME A17.1, section 5.5,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875—72.7</w:t>
      </w:r>
      <w:r>
        <w:rPr>
          <w:rFonts w:ascii="Times New Roman" w:hAnsi="Times New Roman"/>
          <w:b/>
          <w:i w:val="false"/>
          <w:color w:val="000000"/>
          <w:sz w:val="22"/>
        </w:rPr>
        <w:t xml:space="preserve">(89A) </w:t>
      </w:r>
      <w:r>
        <w:rPr>
          <w:rFonts w:ascii="Times New Roman" w:hAnsi="Times New Roman"/>
          <w:b/>
          <w:i w:val="false"/>
          <w:color w:val="000000"/>
          <w:sz w:val="22"/>
        </w:rPr>
        <w:t xml:space="preserve">Performance-based safety code. </w:t>
      </w:r>
      <w:r>
        <w:rPr>
          <w:rFonts w:ascii="Times New Roman" w:hAnsi="Times New Roman"/>
          <w:b w:val="false"/>
          <w:i w:val="false"/>
          <w:color w:val="000000"/>
          <w:sz w:val="22"/>
        </w:rPr>
        <w:t>Conveyances may comply with ASME A17.7, in whole or in part, as an alternative to ASME A17.1.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875—72.8</w:t>
      </w:r>
      <w:r>
        <w:rPr>
          <w:rFonts w:ascii="Times New Roman" w:hAnsi="Times New Roman"/>
          <w:b/>
          <w:i w:val="false"/>
          <w:color w:val="000000"/>
          <w:sz w:val="22"/>
        </w:rPr>
        <w:t xml:space="preserve">(89A) </w:t>
      </w:r>
      <w:r>
        <w:rPr>
          <w:rFonts w:ascii="Times New Roman" w:hAnsi="Times New Roman"/>
          <w:b/>
          <w:i w:val="false"/>
          <w:color w:val="000000"/>
          <w:sz w:val="22"/>
        </w:rPr>
        <w:t xml:space="preserve">Hand and power dumbwaiters. </w:t>
      </w:r>
      <w:r>
        <w:rPr>
          <w:rFonts w:ascii="Times New Roman" w:hAnsi="Times New Roman"/>
          <w:b w:val="false"/>
          <w:i w:val="false"/>
          <w:color w:val="000000"/>
          <w:sz w:val="22"/>
        </w:rPr>
        <w:t>The provisions contained in ASME A17.1, sections 7.1, 7.2, 7.3, and 7.8,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875—72.9</w:t>
      </w:r>
      <w:r>
        <w:rPr>
          <w:rFonts w:ascii="Times New Roman" w:hAnsi="Times New Roman"/>
          <w:b/>
          <w:i w:val="false"/>
          <w:color w:val="000000"/>
          <w:sz w:val="22"/>
        </w:rPr>
        <w:t xml:space="preserve">(89A) </w:t>
      </w:r>
      <w:r>
        <w:rPr>
          <w:rFonts w:ascii="Times New Roman" w:hAnsi="Times New Roman"/>
          <w:b/>
          <w:i w:val="false"/>
          <w:color w:val="000000"/>
          <w:sz w:val="22"/>
        </w:rPr>
        <w:t xml:space="preserve">Escalators and moving walks. </w:t>
      </w:r>
      <w:r>
        <w:rPr>
          <w:rFonts w:ascii="Times New Roman" w:hAnsi="Times New Roman"/>
          <w:b w:val="false"/>
          <w:i w:val="false"/>
          <w:color w:val="000000"/>
          <w:sz w:val="22"/>
        </w:rPr>
        <w:t>The provisions contained in ASME A17.1, Part 6, are adopted by reference, except for those portions that allow an operating or safety device to reset automatically.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875—72.10</w:t>
      </w:r>
      <w:r>
        <w:rPr>
          <w:rFonts w:ascii="Times New Roman" w:hAnsi="Times New Roman"/>
          <w:b/>
          <w:i w:val="false"/>
          <w:color w:val="000000"/>
          <w:sz w:val="22"/>
        </w:rPr>
        <w:t xml:space="preserve">(89A)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72.10(1)</w:t>
      </w:r>
      <w:r>
        <w:rPr>
          <w:rFonts w:ascii="Times New Roman" w:hAnsi="Times New Roman"/>
          <w:b w:val="false"/>
          <w:i w:val="false"/>
          <w:color w:val="000000"/>
          <w:sz w:val="22"/>
        </w:rPr>
        <w:t> </w:t>
      </w:r>
      <w:r>
        <w:rPr>
          <w:rFonts w:ascii="Times New Roman" w:hAnsi="Times New Roman"/>
          <w:b w:val="false"/>
          <w:i w:val="false"/>
          <w:color w:val="000000"/>
          <w:sz w:val="22"/>
        </w:rPr>
        <w:t>The provisions contained in ASME A17.1, Part 8, are adopted by reference unless specifically excluded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72.10(2)</w:t>
      </w:r>
      <w:r>
        <w:rPr>
          <w:rFonts w:ascii="Times New Roman" w:hAnsi="Times New Roman"/>
          <w:b w:val="false"/>
          <w:i w:val="false"/>
          <w:color w:val="000000"/>
          <w:sz w:val="22"/>
        </w:rPr>
        <w:t> </w:t>
      </w:r>
      <w:r>
        <w:rPr>
          <w:rFonts w:ascii="Times New Roman" w:hAnsi="Times New Roman"/>
          <w:b w:val="false"/>
          <w:i w:val="false"/>
          <w:color w:val="000000"/>
          <w:sz w:val="22"/>
        </w:rPr>
        <w:t>Except as noted in this rule, the American Society of Mechanical Engineers Safety Code for Existing Elevators and Escalators, A17.3 (2011), is adopted by reference with an enforcement date of May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code provision that is more restrictive than A17.3 (2011) applied to a conveyance when the conveyance was installed, the more restrictive provision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A17.3 (2011) Part X applies to handicapped restricted use elevators without regard to the scope provisions set forth in A17.3 (2011) Part 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of A17.3 (2011) that require installation of a new controller to implement Phase 1 and Phase 2 fire service or car top operation are not adopted by reference and are not be enforced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A17.3 (2011), Rule 2.3.2, is intended to prevent the accumulation of sewer gas in an elevator pit and does not require the addition of a drain pipe in an existing pit. An air gap in an existing drain pipe is adequate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elevator that was legally installed with guide rails made of materials other than steel will not be required to replace the guide rails due to the adoption of A17.3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72.10(3)</w:t>
      </w:r>
      <w:r>
        <w:rPr>
          <w:rFonts w:ascii="Times New Roman" w:hAnsi="Times New Roman"/>
          <w:b w:val="false"/>
          <w:i w:val="false"/>
          <w:color w:val="000000"/>
          <w:sz w:val="22"/>
        </w:rPr>
        <w:t> </w:t>
      </w:r>
      <w:r>
        <w:rPr>
          <w:rFonts w:ascii="Times New Roman" w:hAnsi="Times New Roman"/>
          <w:b w:val="false"/>
          <w:i w:val="false"/>
          <w:color w:val="000000"/>
          <w:sz w:val="22"/>
        </w:rPr>
        <w:t>Permanent lighting shall be installed in the hoistway of an elevator contracted after March 1, 2019. Three-way switches to control the hoistway lighting shall be installed at the pit access door and the top landing access door. The lighting shall be sufficient to provide 10 foot-candles of light to the center of the elevator path measured when the car top lights are off. Engineering calculations that prove 10 foot-candles of light are provided to the center of the elevator path may be substituted for light meter measurements under circumstances such as a glass back car where use of a light meter is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72.10(4)</w:t>
      </w:r>
      <w:r>
        <w:rPr>
          <w:rFonts w:ascii="Times New Roman" w:hAnsi="Times New Roman"/>
          <w:b w:val="false"/>
          <w:i w:val="false"/>
          <w:color w:val="000000"/>
          <w:sz w:val="22"/>
        </w:rPr>
        <w:t> </w:t>
      </w:r>
      <w:r>
        <w:rPr>
          <w:rFonts w:ascii="Times New Roman" w:hAnsi="Times New Roman"/>
          <w:b w:val="false"/>
          <w:i w:val="false"/>
          <w:color w:val="000000"/>
          <w:sz w:val="22"/>
        </w:rPr>
        <w:t>For conveyances contracted after March 1, 2019, all electrical wiring in a machine room, control space, control room, machinery space, and hoistway shall comply with ANSI/NFPA 70 and be enclosed in metal conduit, flexible conduit, or metal raceways. However, this subrule does not apply in applications such as traveling cables and car top work lights where movement is required for proper function or to operating devices and control equipment where adjustment may be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875—72.11</w:t>
      </w:r>
      <w:r>
        <w:rPr>
          <w:rFonts w:ascii="Times New Roman" w:hAnsi="Times New Roman"/>
          <w:b/>
          <w:i w:val="false"/>
          <w:color w:val="000000"/>
          <w:sz w:val="22"/>
        </w:rPr>
        <w:t xml:space="preserve">(89A) </w:t>
      </w:r>
      <w:r>
        <w:rPr>
          <w:rFonts w:ascii="Times New Roman" w:hAnsi="Times New Roman"/>
          <w:b/>
          <w:i w:val="false"/>
          <w:color w:val="000000"/>
          <w:sz w:val="22"/>
        </w:rPr>
        <w:t xml:space="preserve">Wind tower lifts. </w:t>
      </w:r>
      <w:r>
        <w:rPr>
          <w:rFonts w:ascii="Times New Roman" w:hAnsi="Times New Roman"/>
          <w:b w:val="false"/>
          <w:i w:val="false"/>
          <w:color w:val="000000"/>
          <w:sz w:val="22"/>
        </w:rPr>
        <w:t>Wind tower lifts authorized by this rule shall not be installed in grain elevators, high-rise buildings, water towers, television towers or any facility other than a wind tower built for the production of electricity. This rule applies to all wind tower lifts, whether installed before or after May 28, 2008; however, this exception does not apply to a wind tower lift if the contract for its installation is executed after an AECO is accredited.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72.11(1)</w:t>
      </w:r>
      <w:r>
        <w:rPr>
          <w:rFonts w:ascii="Times New Roman" w:hAnsi="Times New Roman"/>
          <w:b w:val="false"/>
          <w:i w:val="false"/>
          <w:color w:val="000000"/>
          <w:sz w:val="22"/>
        </w:rPr>
        <w:t> </w:t>
      </w:r>
      <w:r>
        <w:rPr>
          <w:rFonts w:ascii="Times New Roman" w:hAnsi="Times New Roman"/>
          <w:b w:val="false"/>
          <w:i w:val="false"/>
          <w:color w:val="000000"/>
          <w:sz w:val="22"/>
        </w:rPr>
        <w:t xml:space="preserve">Wind tower lifts that meet the requirements of subrules </w:t>
      </w:r>
      <w:r>
        <w:rPr>
          <w:rFonts w:ascii="Times New Roman" w:hAnsi="Times New Roman"/>
          <w:b w:val="false"/>
          <w:i w:val="false"/>
          <w:color w:val="000000"/>
          <w:sz w:val="22"/>
        </w:rPr>
        <w:t>72.11(2) through 72.11(9)</w:t>
      </w:r>
      <w:r>
        <w:rPr>
          <w:rFonts w:ascii="Times New Roman" w:hAnsi="Times New Roman"/>
          <w:b w:val="false"/>
          <w:i w:val="false"/>
          <w:color w:val="000000"/>
          <w:sz w:val="22"/>
        </w:rPr>
        <w:t xml:space="preserve"> are exempt from the requirements of ASME A17.1. This temporary exemption terminates for a wind tower lift upon the occurrence of at least one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weeks have passed since the accreditation of at least one AECO, and the manufacturer of the wind tower lift has not filed with the director an affidavit attesting that a request for Certificate of Conformance as described by ASME A17.7 (2007) was submitted to an AECO.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AECO has reviewed a request pursuant to ASME A17.7 and refused to issue a Certificate of Conformance for the model or series of lifts.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AECO has determined that modifications to the wind tower lift are necessary, and the modifications have not been made with reasonable diligence.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AECO has determined that modifications to the wind tower lift are necessary, and the director determines the wind tower lift is not safe to operate prior to completion of the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AECO has reviewed an application pursuant to ASME A17.7 and issued a Certificate of Conformance for the model or series of lifts.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72.11(2)</w:t>
      </w:r>
      <w:r>
        <w:rPr>
          <w:rFonts w:ascii="Times New Roman" w:hAnsi="Times New Roman"/>
          <w:b w:val="false"/>
          <w:i w:val="false"/>
          <w:color w:val="000000"/>
          <w:sz w:val="22"/>
        </w:rPr>
        <w:t> </w:t>
      </w:r>
      <w:r>
        <w:rPr>
          <w:rFonts w:ascii="Times New Roman" w:hAnsi="Times New Roman"/>
          <w:b w:val="false"/>
          <w:i w:val="false"/>
          <w:color w:val="000000"/>
          <w:sz w:val="22"/>
        </w:rPr>
        <w:t>A wind tower lift placed in operation on or before May 28, 2008, shall be registered by the owner with the director no later than July 1, 2008, and shall pass an installation inspection by inspectors employed by the director according to the schedule set by the director. The wind tower lift shall receive a periodic inspection by the director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72.11(3)</w:t>
      </w:r>
      <w:r>
        <w:rPr>
          <w:rFonts w:ascii="Times New Roman" w:hAnsi="Times New Roman"/>
          <w:b w:val="false"/>
          <w:i w:val="false"/>
          <w:color w:val="000000"/>
          <w:sz w:val="22"/>
        </w:rPr>
        <w:t> </w:t>
      </w:r>
      <w:r>
        <w:rPr>
          <w:rFonts w:ascii="Times New Roman" w:hAnsi="Times New Roman"/>
          <w:b w:val="false"/>
          <w:i w:val="false"/>
          <w:color w:val="000000"/>
          <w:sz w:val="22"/>
        </w:rPr>
        <w:t>The owner of a wind tower lift installed after May 28, 2008, shall register the wind tower lift with the director prior to its installation. A wind tower lift installed after May 28, 2008, shall pass an installation inspection by the director prior to its being placed into operation. The wind tower lift will receive a periodic inspection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72.11(4)</w:t>
      </w:r>
      <w:r>
        <w:rPr>
          <w:rFonts w:ascii="Times New Roman" w:hAnsi="Times New Roman"/>
          <w:b w:val="false"/>
          <w:i w:val="false"/>
          <w:color w:val="000000"/>
          <w:sz w:val="22"/>
        </w:rPr>
        <w:t> </w:t>
      </w:r>
      <w:r>
        <w:rPr>
          <w:rFonts w:ascii="Times New Roman" w:hAnsi="Times New Roman"/>
          <w:b w:val="false"/>
          <w:i w:val="false"/>
          <w:color w:val="000000"/>
          <w:sz w:val="22"/>
        </w:rPr>
        <w:t>Registration pursuant to this rule requires submission of the following information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unique identifier of the wind tower.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wind tower owner and contact information for the owner’s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wind tower lift manufacturer and contact information for the manufacturer’s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of the wind 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Three copies of the prints and design documents that are certified by a professional engineer duly licensed in the state of Iowa and that bear the professional engineer’s P.E. stamp for the lifts.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manufacturer’s complete test procedures, inspection checklists, operating manual, service manual, and related documents as determined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shall notify the director within 30 days of any change in the information provided pursuant to paragraphs </w:t>
      </w:r>
      <w:r>
        <w:rPr>
          <w:rFonts w:ascii="Times New Roman" w:hAnsi="Times New Roman"/>
          <w:b w:val="false"/>
          <w:i w:val="false"/>
          <w:color w:val="000000"/>
          <w:sz w:val="22"/>
        </w:rPr>
        <w:t>72.11(4)</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72.11(6)</w:t>
      </w:r>
      <w:r>
        <w:rPr>
          <w:rFonts w:ascii="Times New Roman" w:hAnsi="Times New Roman"/>
          <w:b w:val="false"/>
          <w:i w:val="false"/>
          <w:color w:val="000000"/>
          <w:sz w:val="22"/>
        </w:rPr>
        <w:t> </w:t>
      </w:r>
      <w:r>
        <w:rPr>
          <w:rFonts w:ascii="Times New Roman" w:hAnsi="Times New Roman"/>
          <w:b w:val="false"/>
          <w:i w:val="false"/>
          <w:color w:val="000000"/>
          <w:sz w:val="22"/>
        </w:rPr>
        <w:t>The manufacturer of a lift must notify the director in writing within one week if one of its wind tower lifts anywhere in the world is involved in a personal injury accident requiring the service of a physician, a personal injury accident causing disability exceeding one day or death, or an incident causing property damage exceeding $2,000. The notification shall specifically identify the model number, serial number, and owner of the lift, and a description of the incident or accident. The director shall determine and require necessary inspections, tests, changes or enhancements to prevent a similar incident or accident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72.11(7)</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notify the director within seven days of notification to the manufacturer that an AECO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Issued a Certificate of Conformance for the model or series of wind tower lifts,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Refused to issue a Certificate of Conformance for the model or series of wind tower lifts,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Determined that modifications to the wind tower lifts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72.11(8)</w:t>
      </w:r>
      <w:r>
        <w:rPr>
          <w:rFonts w:ascii="Times New Roman" w:hAnsi="Times New Roman"/>
          <w:b w:val="false"/>
          <w:i w:val="false"/>
          <w:color w:val="000000"/>
          <w:sz w:val="22"/>
        </w:rPr>
        <w:t> </w:t>
      </w:r>
      <w:r>
        <w:rPr>
          <w:rFonts w:ascii="Times New Roman" w:hAnsi="Times New Roman"/>
          <w:b w:val="false"/>
          <w:i w:val="false"/>
          <w:color w:val="000000"/>
          <w:sz w:val="22"/>
        </w:rPr>
        <w:t>Wind tower lifts shall pass an inspection covering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Ascending speed, descending speed, and emergency descending speed will not exceed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Stop switch, interior lighting, cage entry door, door contact, operating controls, and remote operating controls will operate according to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Interior floor and cage framework will appear to be structurally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Enclosure signage recommended by the manufacturer will be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Manufacturer’s data plate will be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Hoisting mechanism will appear to be structurally sound and intact from inside and outside the car.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Guide shoes will appear to be structurally sound and undamaged.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Suspended power cords and strain relief devices will reveal no visible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Upper and lower normal and final limits will operate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Overspeed device will successfully pass a full-load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Overload device will successfully pass an overload test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Wire rope, safety rope, and guide rope will show no evidence of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Guide rope attachments, suspension attachment beam, beam tower attachments, suspension rope attachment, suspension rope secondary attachment (if present), and guide wire rope attachments will show no evidence of wear or fatigue.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wind tower lift will not drift when subjected to a static full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Maintenance logs, tags, and other necessary documentation will be available in sufficient detail to establish that maintenance is occurring pursuant to the manufacturer’s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Guide rope tension device, safety rope tension device, and suspension rope tension device will pass a visual test for proper 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Power cord catch basket will pass a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Safety set distance, overspeed trip speed, overload limit setting, and maximum overload allowed will not exceed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 communication device, if installed in the car, will be operable.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other items on the manufacturer’s recommended inspection checklist will pass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72.11(9)</w:t>
      </w:r>
      <w:r>
        <w:rPr>
          <w:rFonts w:ascii="Times New Roman" w:hAnsi="Times New Roman"/>
          <w:b w:val="false"/>
          <w:i w:val="false"/>
          <w:color w:val="000000"/>
          <w:sz w:val="22"/>
        </w:rPr>
        <w:t> </w:t>
      </w:r>
      <w:r>
        <w:rPr>
          <w:rFonts w:ascii="Times New Roman" w:hAnsi="Times New Roman"/>
          <w:b w:val="false"/>
          <w:i w:val="false"/>
          <w:color w:val="000000"/>
          <w:sz w:val="22"/>
        </w:rPr>
        <w:t>The owner or owner’s representative shall provide weights as needed to perform necessary tests during inspections.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875—72.12</w:t>
      </w:r>
      <w:r>
        <w:rPr>
          <w:rFonts w:ascii="Times New Roman" w:hAnsi="Times New Roman"/>
          <w:b/>
          <w:i w:val="false"/>
          <w:color w:val="000000"/>
          <w:sz w:val="22"/>
        </w:rPr>
        <w:t xml:space="preserve">(89A) </w:t>
      </w:r>
      <w:r>
        <w:rPr>
          <w:rFonts w:ascii="Times New Roman" w:hAnsi="Times New Roman"/>
          <w:b/>
          <w:i w:val="false"/>
          <w:color w:val="000000"/>
          <w:sz w:val="22"/>
        </w:rPr>
        <w:t xml:space="preserve">Alterations, repairs, replacements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Except as set forth in this rule, all maintenance, repairs, replacements, and alterations comply with the edition of ASME A17.1 currently adopted for new conveyances or ASME A17.7-2007/CSA B44-07, as applicable. “Alterations” in 875—Chapter 71 describes alterations that require that the entire conveyance be brought into compliance with the most current codes.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72.12(2)</w:t>
      </w:r>
      <w:r>
        <w:rPr>
          <w:rFonts w:ascii="Times New Roman" w:hAnsi="Times New Roman"/>
          <w:b w:val="false"/>
          <w:i w:val="false"/>
          <w:color w:val="000000"/>
          <w:sz w:val="22"/>
        </w:rPr>
        <w:t> </w:t>
      </w:r>
      <w:r>
        <w:rPr>
          <w:rFonts w:ascii="Times New Roman" w:hAnsi="Times New Roman"/>
          <w:b w:val="false"/>
          <w:i/>
          <w:color w:val="000000"/>
          <w:sz w:val="22"/>
        </w:rPr>
        <w:t xml:space="preserve">Exemption for button renumbering. </w:t>
      </w:r>
      <w:r>
        <w:rPr>
          <w:rFonts w:ascii="Times New Roman" w:hAnsi="Times New Roman"/>
          <w:b w:val="false"/>
          <w:i w:val="false"/>
          <w:color w:val="000000"/>
          <w:sz w:val="22"/>
        </w:rPr>
        <w:t>All maintenance, repairs and alterations to devices covered by ANSI A117.1 comply with ANSI A117.1 (2017), except for requirement 407.4.7.1.2.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72.12(3)</w:t>
      </w:r>
      <w:r>
        <w:rPr>
          <w:rFonts w:ascii="Times New Roman" w:hAnsi="Times New Roman"/>
          <w:b w:val="false"/>
          <w:i w:val="false"/>
          <w:color w:val="000000"/>
          <w:sz w:val="22"/>
        </w:rPr>
        <w:t> </w:t>
      </w:r>
      <w:r>
        <w:rPr>
          <w:rFonts w:ascii="Times New Roman" w:hAnsi="Times New Roman"/>
          <w:b w:val="false"/>
          <w:i/>
          <w:color w:val="000000"/>
          <w:sz w:val="22"/>
        </w:rPr>
        <w:t xml:space="preserve">Sump pump exemption. </w:t>
      </w:r>
      <w:r>
        <w:rPr>
          <w:rFonts w:ascii="Times New Roman" w:hAnsi="Times New Roman"/>
          <w:b w:val="false"/>
          <w:i w:val="false"/>
          <w:color w:val="000000"/>
          <w:sz w:val="22"/>
        </w:rPr>
        <w:t>The provisions of ASME A17.1 that require a pit sump or drain do not apply to an elevator alteration when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groundwater has not entered the pit previously.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and geology of the building indicate a likelihood that groundwater would enter the pit if the foundation or pit floor were breached to install the pit sump or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alternative means to maintain the pit in a dry condition is provided to the director with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approves the alternative means to maintain the pit in a dry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alternative means to maintain the pit in a dry condition are installed or implemented as described in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72.12(4)</w:t>
      </w:r>
      <w:r>
        <w:rPr>
          <w:rFonts w:ascii="Times New Roman" w:hAnsi="Times New Roman"/>
          <w:b w:val="false"/>
          <w:i w:val="false"/>
          <w:color w:val="000000"/>
          <w:sz w:val="22"/>
        </w:rPr>
        <w:t> </w:t>
      </w:r>
      <w:r>
        <w:rPr>
          <w:rFonts w:ascii="Times New Roman" w:hAnsi="Times New Roman"/>
          <w:b w:val="false"/>
          <w:i/>
          <w:color w:val="000000"/>
          <w:sz w:val="22"/>
        </w:rPr>
        <w:t xml:space="preserve">Pit excavation exemption. </w:t>
      </w:r>
      <w:r>
        <w:rPr>
          <w:rFonts w:ascii="Times New Roman" w:hAnsi="Times New Roman"/>
          <w:b w:val="false"/>
          <w:i w:val="false"/>
          <w:color w:val="000000"/>
          <w:sz w:val="22"/>
        </w:rPr>
        <w:t>For elevators altered before August 1, 2018, the full length of the platform guard set forth in ASME A17.1, Rule 2.15.9.2(a), will not be required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full-length platform guard would strike the pit floor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clearance between the bottom of the platform guard and the pit floor is 2.5 centimeters (1 inch)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72.12(5)</w:t>
      </w:r>
      <w:r>
        <w:rPr>
          <w:rFonts w:ascii="Times New Roman" w:hAnsi="Times New Roman"/>
          <w:b w:val="false"/>
          <w:i w:val="false"/>
          <w:color w:val="000000"/>
          <w:sz w:val="22"/>
        </w:rPr>
        <w:t> </w:t>
      </w:r>
      <w:r>
        <w:rPr>
          <w:rFonts w:ascii="Times New Roman" w:hAnsi="Times New Roman"/>
          <w:b w:val="false"/>
          <w:i/>
          <w:color w:val="000000"/>
          <w:sz w:val="22"/>
        </w:rPr>
        <w:t xml:space="preserve">Sprinkler retrofits and shunt trip breakers. </w:t>
      </w:r>
      <w:r>
        <w:rPr>
          <w:rFonts w:ascii="Times New Roman" w:hAnsi="Times New Roman"/>
          <w:b w:val="false"/>
          <w:i w:val="false"/>
          <w:color w:val="000000"/>
          <w:sz w:val="22"/>
        </w:rPr>
        <w:t>When a sprinkler is added to a hoistway or machine room, the conveyance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installation complies with the applicable version of ASME A17.1, Rule 2.8.3.3.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elevator controls comply with the phase I fire recall provisions of the applicable version of ASME A17.1, Rule 2.27.3.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version of ASME A17.1 is determined by reference to rule </w:t>
      </w:r>
      <w:hyperlink r:id="rId6">
        <w:r>
          <w:rPr>
            <w:rStyle w:val="Hyperlink"/>
            <w:rFonts w:ascii="Times New Roman" w:hAnsi="Times New Roman"/>
            <w:b w:val="false"/>
            <w:i w:val="false"/>
            <w:color w:val="000000"/>
            <w:sz w:val="22"/>
          </w:rPr>
          <w:t>875—72.1</w:t>
        </w:r>
      </w:hyperlink>
      <w:r>
        <w:rPr>
          <w:rFonts w:ascii="Times New Roman" w:hAnsi="Times New Roman"/>
          <w:b w:val="false"/>
          <w:i w:val="false"/>
          <w:color w:val="000000"/>
          <w:sz w:val="22"/>
        </w:rPr>
        <w:t xml:space="preserve">(89A). For purposes of this subrule, the relevant subrule of rule </w:t>
      </w:r>
      <w:hyperlink r:id="rId7">
        <w:r>
          <w:rPr>
            <w:rStyle w:val="Hyperlink"/>
            <w:rFonts w:ascii="Times New Roman" w:hAnsi="Times New Roman"/>
            <w:b w:val="false"/>
            <w:i w:val="false"/>
            <w:color w:val="000000"/>
            <w:sz w:val="22"/>
          </w:rPr>
          <w:t>875—72.1</w:t>
        </w:r>
      </w:hyperlink>
      <w:r>
        <w:rPr>
          <w:rFonts w:ascii="Times New Roman" w:hAnsi="Times New Roman"/>
          <w:b w:val="false"/>
          <w:i w:val="false"/>
          <w:color w:val="000000"/>
          <w:sz w:val="22"/>
        </w:rPr>
        <w:t>(89A) applies based on the date the sprinkler is installed instead of the date the conveyance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72.12(6)</w:t>
      </w:r>
      <w:r>
        <w:rPr>
          <w:rFonts w:ascii="Times New Roman" w:hAnsi="Times New Roman"/>
          <w:b w:val="false"/>
          <w:i w:val="false"/>
          <w:color w:val="000000"/>
          <w:sz w:val="22"/>
        </w:rPr>
        <w:t> </w:t>
      </w:r>
      <w:r>
        <w:rPr>
          <w:rFonts w:ascii="Times New Roman" w:hAnsi="Times New Roman"/>
          <w:b w:val="false"/>
          <w:i/>
          <w:color w:val="000000"/>
          <w:sz w:val="22"/>
        </w:rPr>
        <w:t xml:space="preserve">Alterations of handicapped restricted use elevators. </w:t>
      </w:r>
      <w:r>
        <w:rPr>
          <w:rFonts w:ascii="Times New Roman" w:hAnsi="Times New Roman"/>
          <w:b w:val="false"/>
          <w:i w:val="false"/>
          <w:color w:val="000000"/>
          <w:sz w:val="22"/>
        </w:rPr>
        <w:t xml:space="preserve">A component of a handicapped restricted use elevator being altered will comply with the portions of ASME A17.1, section 5.3, applicable to the component. The edition of ASME A17.1 adopted by reference in rule </w:t>
      </w:r>
      <w:hyperlink r:id="rId8">
        <w:r>
          <w:rPr>
            <w:rStyle w:val="Hyperlink"/>
            <w:rFonts w:ascii="Times New Roman" w:hAnsi="Times New Roman"/>
            <w:b w:val="false"/>
            <w:i w:val="false"/>
            <w:color w:val="000000"/>
            <w:sz w:val="22"/>
          </w:rPr>
          <w:t>875—72.1</w:t>
        </w:r>
      </w:hyperlink>
      <w:r>
        <w:rPr>
          <w:rFonts w:ascii="Times New Roman" w:hAnsi="Times New Roman"/>
          <w:b w:val="false"/>
          <w:i w:val="false"/>
          <w:color w:val="000000"/>
          <w:sz w:val="22"/>
        </w:rPr>
        <w:t>(89A)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72.12(7)</w:t>
      </w:r>
      <w:r>
        <w:rPr>
          <w:rFonts w:ascii="Times New Roman" w:hAnsi="Times New Roman"/>
          <w:b w:val="false"/>
          <w:i w:val="false"/>
          <w:color w:val="000000"/>
          <w:sz w:val="22"/>
        </w:rPr>
        <w:t> </w:t>
      </w:r>
      <w:r>
        <w:rPr>
          <w:rFonts w:ascii="Times New Roman" w:hAnsi="Times New Roman"/>
          <w:b w:val="false"/>
          <w:i/>
          <w:color w:val="000000"/>
          <w:sz w:val="22"/>
        </w:rPr>
        <w:t xml:space="preserve">Hoistway lighting. </w:t>
      </w:r>
      <w:r>
        <w:rPr>
          <w:rFonts w:ascii="Times New Roman" w:hAnsi="Times New Roman"/>
          <w:b w:val="false"/>
          <w:i w:val="false"/>
          <w:color w:val="000000"/>
          <w:sz w:val="22"/>
        </w:rPr>
        <w:t>If the controller for an elevator is being replaced, permanent lighting shall be installed in the hoistway of the elevator. Three-way switches to control the hoistway lighting shall be installed at the pit access door and the top landing access door. The lighting will be sufficient to provide 10 foot-candles of light to the center of the elevator path measured when the car top lights are off. Engineering calculations that prove 10 foot-candles of light are provided to the center of the elevator path may be substituted for light meter measurements under circumstances such as a glass back car where use of a light meter is not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875—72.13</w:t>
      </w:r>
      <w:r>
        <w:rPr>
          <w:rFonts w:ascii="Times New Roman" w:hAnsi="Times New Roman"/>
          <w:b/>
          <w:i w:val="false"/>
          <w:color w:val="000000"/>
          <w:sz w:val="22"/>
        </w:rPr>
        <w:t xml:space="preserve">(89A) </w:t>
      </w:r>
      <w:r>
        <w:rPr>
          <w:rFonts w:ascii="Times New Roman" w:hAnsi="Times New Roman"/>
          <w:b/>
          <w:i w:val="false"/>
          <w:color w:val="000000"/>
          <w:sz w:val="22"/>
        </w:rPr>
        <w:t xml:space="preserve">Power-operated special purpose elevators. </w:t>
      </w:r>
      <w:r>
        <w:rPr>
          <w:rFonts w:ascii="Times New Roman" w:hAnsi="Times New Roman"/>
          <w:b w:val="false"/>
          <w:i w:val="false"/>
          <w:color w:val="000000"/>
          <w:sz w:val="22"/>
        </w:rPr>
        <w:t>The provisions contained in ASME A17.1, section 5.7,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875—72.14</w:t>
      </w:r>
      <w:r>
        <w:rPr>
          <w:rFonts w:ascii="Times New Roman" w:hAnsi="Times New Roman"/>
          <w:b/>
          <w:i w:val="false"/>
          <w:color w:val="000000"/>
          <w:sz w:val="22"/>
        </w:rPr>
        <w:t xml:space="preserve">(89A) </w:t>
      </w:r>
      <w:r>
        <w:rPr>
          <w:rFonts w:ascii="Times New Roman" w:hAnsi="Times New Roman"/>
          <w:b/>
          <w:i w:val="false"/>
          <w:color w:val="000000"/>
          <w:sz w:val="22"/>
        </w:rPr>
        <w:t xml:space="preserve">Inclined and vertical wheelchair lifts. </w:t>
      </w:r>
      <w:r>
        <w:rPr>
          <w:rFonts w:ascii="Times New Roman" w:hAnsi="Times New Roman"/>
          <w:b w:val="false"/>
          <w:i w:val="false"/>
          <w:color w:val="000000"/>
          <w:sz w:val="22"/>
        </w:rPr>
        <w:t>The provisions contained in ASME Safety Standard for Platform Lifts and Stairway Chairlifts A18.1, sections 1, 2, 3, 8, 9, and 10, are adopted by reference for all inclined and vertical wheelchair lifts.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875—72.15</w:t>
      </w:r>
      <w:r>
        <w:rPr>
          <w:rFonts w:ascii="Times New Roman" w:hAnsi="Times New Roman"/>
          <w:b/>
          <w:i w:val="false"/>
          <w:color w:val="000000"/>
          <w:sz w:val="22"/>
        </w:rPr>
        <w:t xml:space="preserve">(89A) </w:t>
      </w:r>
      <w:r>
        <w:rPr>
          <w:rFonts w:ascii="Times New Roman" w:hAnsi="Times New Roman"/>
          <w:b/>
          <w:i w:val="false"/>
          <w:color w:val="000000"/>
          <w:sz w:val="22"/>
        </w:rPr>
        <w:t xml:space="preserve">Hand-powered elevators. </w:t>
      </w:r>
      <w:r>
        <w:rPr>
          <w:rFonts w:ascii="Times New Roman" w:hAnsi="Times New Roman"/>
          <w:b w:val="false"/>
          <w:i w:val="false"/>
          <w:color w:val="000000"/>
          <w:sz w:val="22"/>
        </w:rPr>
        <w:t>Hand-powered elevators shall not be installed after January 1, 1983.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875—72.16</w:t>
      </w:r>
      <w:r>
        <w:rPr>
          <w:rFonts w:ascii="Times New Roman" w:hAnsi="Times New Roman"/>
          <w:b/>
          <w:i w:val="false"/>
          <w:color w:val="000000"/>
          <w:sz w:val="22"/>
        </w:rPr>
        <w:t xml:space="preserve">(89A) </w:t>
      </w:r>
      <w:r>
        <w:rPr>
          <w:rFonts w:ascii="Times New Roman" w:hAnsi="Times New Roman"/>
          <w:b/>
          <w:i w:val="false"/>
          <w:color w:val="000000"/>
          <w:sz w:val="22"/>
        </w:rPr>
        <w:t xml:space="preserve">Limited-use/limited-application elevators. </w:t>
      </w:r>
      <w:r>
        <w:rPr>
          <w:rFonts w:ascii="Times New Roman" w:hAnsi="Times New Roman"/>
          <w:b w:val="false"/>
          <w:i w:val="false"/>
          <w:color w:val="000000"/>
          <w:sz w:val="22"/>
        </w:rPr>
        <w:t>The provisions contained in ASME A17.1, section 5.2,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875—72.17</w:t>
      </w:r>
      <w:r>
        <w:rPr>
          <w:rFonts w:ascii="Times New Roman" w:hAnsi="Times New Roman"/>
          <w:b/>
          <w:i w:val="false"/>
          <w:color w:val="000000"/>
          <w:sz w:val="22"/>
        </w:rPr>
        <w:t xml:space="preserve">(89A) </w:t>
      </w:r>
      <w:r>
        <w:rPr>
          <w:rFonts w:ascii="Times New Roman" w:hAnsi="Times New Roman"/>
          <w:b/>
          <w:i w:val="false"/>
          <w:color w:val="000000"/>
          <w:sz w:val="22"/>
        </w:rPr>
        <w:t xml:space="preserve">Rack and pinion, screw-column elevators. </w:t>
      </w:r>
      <w:r>
        <w:rPr>
          <w:rFonts w:ascii="Times New Roman" w:hAnsi="Times New Roman"/>
          <w:b w:val="false"/>
          <w:i w:val="false"/>
          <w:color w:val="000000"/>
          <w:sz w:val="22"/>
        </w:rPr>
        <w:t>The provisions contained in ASME A17.1, sections 4.1 and 4.2,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875—72.18</w:t>
      </w:r>
      <w:r>
        <w:rPr>
          <w:rFonts w:ascii="Times New Roman" w:hAnsi="Times New Roman"/>
          <w:b/>
          <w:i w:val="false"/>
          <w:color w:val="000000"/>
          <w:sz w:val="22"/>
        </w:rPr>
        <w:t xml:space="preserve">(89A) </w:t>
      </w:r>
      <w:r>
        <w:rPr>
          <w:rFonts w:ascii="Times New Roman" w:hAnsi="Times New Roman"/>
          <w:b/>
          <w:i w:val="false"/>
          <w:color w:val="000000"/>
          <w:sz w:val="22"/>
        </w:rPr>
        <w:t xml:space="preserve">Inclined elevators. </w:t>
      </w:r>
      <w:r>
        <w:rPr>
          <w:rFonts w:ascii="Times New Roman" w:hAnsi="Times New Roman"/>
          <w:b w:val="false"/>
          <w:i w:val="false"/>
          <w:color w:val="000000"/>
          <w:sz w:val="22"/>
        </w:rPr>
        <w:t>The provisions contained in ASME A17.1, section 5.1,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875—72.19</w:t>
      </w:r>
      <w:r>
        <w:rPr>
          <w:rFonts w:ascii="Times New Roman" w:hAnsi="Times New Roman"/>
          <w:b/>
          <w:i w:val="false"/>
          <w:color w:val="000000"/>
          <w:sz w:val="22"/>
        </w:rPr>
        <w:t xml:space="preserve">(89A) </w:t>
      </w:r>
      <w:r>
        <w:rPr>
          <w:rFonts w:ascii="Times New Roman" w:hAnsi="Times New Roman"/>
          <w:b/>
          <w:i w:val="false"/>
          <w:color w:val="000000"/>
          <w:sz w:val="22"/>
        </w:rPr>
        <w:t xml:space="preserve">Material lift elevators. </w:t>
      </w:r>
      <w:r>
        <w:rPr>
          <w:rFonts w:ascii="Times New Roman" w:hAnsi="Times New Roman"/>
          <w:b w:val="false"/>
          <w:i w:val="false"/>
          <w:color w:val="000000"/>
          <w:sz w:val="22"/>
        </w:rPr>
        <w:t>The provisions contained in ASME A17.1, Sections 7.4 through 7.7 and 7.9 through 7.11, are adopted by reference for material lift elevators installed on or after August 10, 2016.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875—72.20</w:t>
      </w:r>
      <w:r>
        <w:rPr>
          <w:rFonts w:ascii="Times New Roman" w:hAnsi="Times New Roman"/>
          <w:b/>
          <w:i w:val="false"/>
          <w:color w:val="000000"/>
          <w:sz w:val="22"/>
        </w:rPr>
        <w:t xml:space="preserve">(89A) </w:t>
      </w:r>
      <w:r>
        <w:rPr>
          <w:rFonts w:ascii="Times New Roman" w:hAnsi="Times New Roman"/>
          <w:b/>
          <w:i w:val="false"/>
          <w:color w:val="000000"/>
          <w:sz w:val="22"/>
        </w:rPr>
        <w:t xml:space="preserve">Elevators used for construction. </w:t>
      </w:r>
      <w:r>
        <w:rPr>
          <w:rFonts w:ascii="Times New Roman" w:hAnsi="Times New Roman"/>
          <w:b w:val="false"/>
          <w:i w:val="false"/>
          <w:color w:val="000000"/>
          <w:sz w:val="22"/>
        </w:rPr>
        <w:t>The provisions contained in ASME A17.1, section 5.10, are adopted by reference only as they pertain to elevators utilizing permanent equipment in a permanent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875—72.21</w:t>
      </w:r>
      <w:r>
        <w:rPr>
          <w:rFonts w:ascii="Times New Roman" w:hAnsi="Times New Roman"/>
          <w:b/>
          <w:i w:val="false"/>
          <w:color w:val="000000"/>
          <w:sz w:val="22"/>
        </w:rPr>
        <w:t xml:space="preserve">(89A) </w:t>
      </w:r>
      <w:r>
        <w:rPr>
          <w:rFonts w:ascii="Times New Roman" w:hAnsi="Times New Roman"/>
          <w:b/>
          <w:i w:val="false"/>
          <w:color w:val="000000"/>
          <w:sz w:val="22"/>
        </w:rPr>
        <w:t xml:space="preserve">Construction personnel hoists. </w:t>
      </w:r>
      <w:r>
        <w:rPr>
          <w:rFonts w:ascii="Times New Roman" w:hAnsi="Times New Roman"/>
          <w:b w:val="false"/>
          <w:i w:val="false"/>
          <w:color w:val="000000"/>
          <w:sz w:val="22"/>
        </w:rPr>
        <w:t>The provisions of ANSI A10.4-2007 are adopted by reference for construction personnel hoists as defined by ANSI A10.4-2007. Notwithstanding the ANSI definition, these conveyances may be used only temporarily during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875—72.22</w:t>
      </w:r>
      <w:r>
        <w:rPr>
          <w:rFonts w:ascii="Times New Roman" w:hAnsi="Times New Roman"/>
          <w:b/>
          <w:i w:val="false"/>
          <w:color w:val="000000"/>
          <w:sz w:val="22"/>
        </w:rPr>
        <w:t xml:space="preserve">(89A) </w:t>
      </w:r>
      <w:r>
        <w:rPr>
          <w:rFonts w:ascii="Times New Roman" w:hAnsi="Times New Roman"/>
          <w:b/>
          <w:i w:val="false"/>
          <w:color w:val="000000"/>
          <w:sz w:val="22"/>
        </w:rPr>
        <w:t xml:space="preserve">Alarm bell. </w:t>
      </w:r>
      <w:r>
        <w:rPr>
          <w:rFonts w:ascii="Times New Roman" w:hAnsi="Times New Roman"/>
          <w:b w:val="false"/>
          <w:i w:val="false"/>
          <w:color w:val="000000"/>
          <w:sz w:val="22"/>
        </w:rPr>
        <w:t>An automatic passenger elevator shall be provided with an alarm bell that is activated by a switch marked “ALARM” located in or adjacent to the car operating panel. The alarm bell shall be audible inside the car and outside the hoistway.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875—72.23</w:t>
      </w:r>
      <w:r>
        <w:rPr>
          <w:rFonts w:ascii="Times New Roman" w:hAnsi="Times New Roman"/>
          <w:b/>
          <w:i w:val="false"/>
          <w:color w:val="000000"/>
          <w:sz w:val="22"/>
        </w:rPr>
        <w:t xml:space="preserve">(89A) </w:t>
      </w:r>
      <w:r>
        <w:rPr>
          <w:rFonts w:ascii="Times New Roman" w:hAnsi="Times New Roman"/>
          <w:b/>
          <w:i w:val="false"/>
          <w:color w:val="000000"/>
          <w:sz w:val="22"/>
        </w:rPr>
        <w:t xml:space="preserve">Child entrapment safeguards. </w:t>
      </w:r>
      <w:r>
        <w:rPr>
          <w:rFonts w:ascii="Times New Roman" w:hAnsi="Times New Roman"/>
          <w:b w:val="false"/>
          <w:i w:val="false"/>
          <w:color w:val="000000"/>
          <w:sz w:val="22"/>
        </w:rPr>
        <w:t>This rule applies to a passenger elevator unless it has a car door consisting of a solid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“distance with deflection between the doors or gates” means the distance between the closed car door or gate and the closed hoistway door or gate measured at the greatest perpendicular distance with deflection.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measurements of door or gate deflection are made in the manner described by ASME A17.1, section 2.14.4.6.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72.23(3)</w:t>
      </w:r>
      <w:r>
        <w:rPr>
          <w:rFonts w:ascii="Times New Roman" w:hAnsi="Times New Roman"/>
          <w:b w:val="false"/>
          <w:i w:val="false"/>
          <w:color w:val="000000"/>
          <w:sz w:val="22"/>
        </w:rPr>
        <w:t> </w:t>
      </w:r>
      <w:r>
        <w:rPr>
          <w:rFonts w:ascii="Times New Roman" w:hAnsi="Times New Roman"/>
          <w:b w:val="false"/>
          <w:i w:val="false"/>
          <w:color w:val="000000"/>
          <w:sz w:val="22"/>
        </w:rPr>
        <w:t>Door or gate deflection shall not exceed .75 inch.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72.23(4)</w:t>
      </w:r>
      <w:r>
        <w:rPr>
          <w:rFonts w:ascii="Times New Roman" w:hAnsi="Times New Roman"/>
          <w:b w:val="false"/>
          <w:i w:val="false"/>
          <w:color w:val="000000"/>
          <w:sz w:val="22"/>
        </w:rPr>
        <w:t> </w:t>
      </w:r>
      <w:r>
        <w:rPr>
          <w:rFonts w:ascii="Times New Roman" w:hAnsi="Times New Roman"/>
          <w:b w:val="false"/>
          <w:i w:val="false"/>
          <w:color w:val="000000"/>
          <w:sz w:val="22"/>
        </w:rPr>
        <w:t>If the distance with deflection between the doors or gates exceeds 5 inches, a means shall be provided to disable the elevator if a person is in the space between the closed doors or gates.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875—72.24</w:t>
      </w:r>
      <w:r>
        <w:rPr>
          <w:rFonts w:ascii="Times New Roman" w:hAnsi="Times New Roman"/>
          <w:b/>
          <w:i w:val="false"/>
          <w:color w:val="000000"/>
          <w:sz w:val="22"/>
        </w:rPr>
        <w:t xml:space="preserve">(89A) </w:t>
      </w:r>
      <w:r>
        <w:rPr>
          <w:rFonts w:ascii="Times New Roman" w:hAnsi="Times New Roman"/>
          <w:b/>
          <w:i w:val="false"/>
          <w:color w:val="000000"/>
          <w:sz w:val="22"/>
        </w:rPr>
        <w:t xml:space="preserve">Handicapped restricted use elevators. </w:t>
      </w:r>
      <w:r>
        <w:rPr>
          <w:rFonts w:ascii="Times New Roman" w:hAnsi="Times New Roman"/>
          <w:b w:val="false"/>
          <w:i w:val="false"/>
          <w:color w:val="000000"/>
          <w:sz w:val="22"/>
        </w:rPr>
        <w:t>All handicapped restricted use elevators must meet ANSI A17.1 (1981), Part V. Additionally, the elevators shall comply with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elevator will be used only by a maximum of one disabled person and one attendant at a time. Where a disabled person cannot operate the elevator in a manner that will ensure access to all operating controls and safety features, an attendant will accompany the disabled person.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elevator will be key-operated and will not be capable of being called by buttons or switches but may be called by a key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Keys to operate the elevator will be in the control of the disabled person, the attendant or persons in positions of responsibility at the location.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list will be maintained at the location indicating the persons holding keys for the operation of the elevator.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Each landing and the elevator car will be posted to indicate that the elevator is only for the use of disabled persons.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travel distance of the elevator will not exceed 50 feet.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875—72.25</w:t>
      </w:r>
      <w:r>
        <w:rPr>
          <w:rFonts w:ascii="Times New Roman" w:hAnsi="Times New Roman"/>
          <w:b/>
          <w:i w:val="false"/>
          <w:color w:val="000000"/>
          <w:sz w:val="22"/>
        </w:rPr>
        <w:t xml:space="preserve">(89A) </w:t>
      </w:r>
      <w:r>
        <w:rPr>
          <w:rFonts w:ascii="Times New Roman" w:hAnsi="Times New Roman"/>
          <w:b/>
          <w:i w:val="false"/>
          <w:color w:val="000000"/>
          <w:sz w:val="22"/>
        </w:rPr>
        <w:t xml:space="preserve">Elevators in broadcast towers. </w:t>
      </w:r>
      <w:r>
        <w:rPr>
          <w:rFonts w:ascii="Times New Roman" w:hAnsi="Times New Roman"/>
          <w:b w:val="false"/>
          <w:i w:val="false"/>
          <w:color w:val="000000"/>
          <w:sz w:val="22"/>
        </w:rPr>
        <w:t>This rule applies to special purpose elevators located in broadcast towers.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72.25(1)</w:t>
      </w:r>
      <w:r>
        <w:rPr>
          <w:rFonts w:ascii="Times New Roman" w:hAnsi="Times New Roman"/>
          <w:b w:val="false"/>
          <w:i w:val="false"/>
          <w:color w:val="000000"/>
          <w:sz w:val="22"/>
        </w:rPr>
        <w:t> </w:t>
      </w:r>
      <w:r>
        <w:rPr>
          <w:rFonts w:ascii="Times New Roman" w:hAnsi="Times New Roman"/>
          <w:b w:val="false"/>
          <w:i/>
          <w:color w:val="000000"/>
          <w:sz w:val="22"/>
        </w:rPr>
        <w:t xml:space="preserve">Anchorages. </w:t>
      </w:r>
      <w:r>
        <w:rPr>
          <w:rFonts w:ascii="Times New Roman" w:hAnsi="Times New Roman"/>
          <w:b w:val="false"/>
          <w:i w:val="false"/>
          <w:color w:val="000000"/>
          <w:sz w:val="22"/>
        </w:rPr>
        <w:t>Anchorages shall be attached inside the car and on the car 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72.25(2)</w:t>
      </w:r>
      <w:r>
        <w:rPr>
          <w:rFonts w:ascii="Times New Roman" w:hAnsi="Times New Roman"/>
          <w:b w:val="false"/>
          <w:i w:val="false"/>
          <w:color w:val="000000"/>
          <w:sz w:val="22"/>
        </w:rPr>
        <w:t> </w:t>
      </w:r>
      <w:r>
        <w:rPr>
          <w:rFonts w:ascii="Times New Roman" w:hAnsi="Times New Roman"/>
          <w:b w:val="false"/>
          <w:i/>
          <w:color w:val="000000"/>
          <w:sz w:val="22"/>
        </w:rPr>
        <w:t xml:space="preserve">Emergency stop switch. </w:t>
      </w:r>
      <w:r>
        <w:rPr>
          <w:rFonts w:ascii="Times New Roman" w:hAnsi="Times New Roman"/>
          <w:b w:val="false"/>
          <w:i w:val="false"/>
          <w:color w:val="000000"/>
          <w:sz w:val="22"/>
        </w:rPr>
        <w:t>An emergency stop switch compliant with ASME A17.1, sections 2.26.2.8 and 5.7.19, shall be installed on the car top.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12/15/75, Notice 10/6/75—published 12/29/75, effective 12/15/75]</w:t>
      </w:r>
    </w:p>
    <w:p>
      <w:pPr>
        <w:spacing w:before="0" w:after="0"/>
        <w:ind w:left="120"/>
        <w:jc w:val="center"/>
      </w:pPr>
      <w:r>
        <w:rPr>
          <w:rFonts w:ascii="Times New Roman" w:hAnsi="Times New Roman"/>
          <w:b w:val="false"/>
          <w:i w:val="false"/>
          <w:color w:val="000000"/>
          <w:sz w:val="21"/>
        </w:rPr>
        <w:t>[Filed 7/28/82, Notice 5/26/82—published 8/18/82, effective 9/30/82]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2/15/01, Notice 10/18/00—published 3/7/01, effective 4/11/01]</w:t>
      </w:r>
    </w:p>
    <w:p>
      <w:pPr>
        <w:spacing w:before="0" w:after="0"/>
        <w:ind w:left="120"/>
        <w:jc w:val="center"/>
      </w:pPr>
      <w:r>
        <w:rPr>
          <w:rFonts w:ascii="Times New Roman" w:hAnsi="Times New Roman"/>
          <w:b w:val="false"/>
          <w:i w:val="false"/>
          <w:color w:val="000000"/>
          <w:sz w:val="21"/>
        </w:rPr>
        <w:t>[Filed 11/7/03, Notice 10/1/03—published 11/26/03, effective 1/1/04]</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12/11/07, Notice 10/24/07—published 1/2/08, effective 2/6/08]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5/28/08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5/28/08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7840B</w:t>
      </w:r>
      <w:r>
        <w:rPr>
          <w:rFonts w:ascii="Times New Roman" w:hAnsi="Times New Roman"/>
          <w:b w:val="false"/>
          <w:i w:val="false"/>
          <w:color w:val="000000"/>
          <w:sz w:val="21"/>
        </w:rPr>
        <w:t xml:space="preserve"> (Notice ARC 7696B,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8759B</w:t>
      </w:r>
      <w:r>
        <w:rPr>
          <w:rFonts w:ascii="Times New Roman" w:hAnsi="Times New Roman"/>
          <w:b w:val="false"/>
          <w:i w:val="false"/>
          <w:color w:val="000000"/>
          <w:sz w:val="21"/>
        </w:rPr>
        <w:t xml:space="preserve"> (Notice ARC 8622B, IAB 3/24/10)</w:t>
      </w:r>
      <w:r>
        <w:rPr>
          <w:rFonts w:ascii="Times New Roman" w:hAnsi="Times New Roman"/>
          <w:b w:val="false"/>
          <w:i w:val="false"/>
          <w:color w:val="000000"/>
          <w:sz w:val="21"/>
        </w:rPr>
        <w:t>, IAB 5/19/10, effective 6/23/10]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0950C</w:t>
      </w:r>
      <w:r>
        <w:rPr>
          <w:rFonts w:ascii="Times New Roman" w:hAnsi="Times New Roman"/>
          <w:b w:val="false"/>
          <w:i w:val="false"/>
          <w:color w:val="000000"/>
          <w:sz w:val="21"/>
        </w:rPr>
        <w:t xml:space="preserve"> (Notice ARC 0753C, IAB 5/29/13)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1232C</w:t>
      </w:r>
      <w:r>
        <w:rPr>
          <w:rFonts w:ascii="Times New Roman" w:hAnsi="Times New Roman"/>
          <w:b w:val="false"/>
          <w:i w:val="false"/>
          <w:color w:val="000000"/>
          <w:sz w:val="21"/>
        </w:rPr>
        <w:t xml:space="preserve"> (Notice ARC 1108C, IAB 10/16/13)</w:t>
      </w:r>
      <w:r>
        <w:rPr>
          <w:rFonts w:ascii="Times New Roman" w:hAnsi="Times New Roman"/>
          <w:b w:val="false"/>
          <w:i w:val="false"/>
          <w:color w:val="000000"/>
          <w:sz w:val="21"/>
        </w:rPr>
        <w:t>, IAB 12/11/13, effective 1/31/14]</w:t>
      </w:r>
    </w:p>
    <w:p>
      <w:pPr>
        <w:spacing w:before="0" w:after="0"/>
        <w:ind w:left="120"/>
        <w:jc w:val="center"/>
      </w:pPr>
      <w:r>
        <w:rPr>
          <w:rFonts w:ascii="Times New Roman" w:hAnsi="Times New Roman"/>
          <w:b w:val="false"/>
          <w:i w:val="false"/>
          <w:color w:val="000000"/>
          <w:sz w:val="21"/>
        </w:rPr>
        <w:t>[Filed ARC 1766C</w:t>
      </w:r>
      <w:r>
        <w:rPr>
          <w:rFonts w:ascii="Times New Roman" w:hAnsi="Times New Roman"/>
          <w:b w:val="false"/>
          <w:i w:val="false"/>
          <w:color w:val="000000"/>
          <w:sz w:val="21"/>
        </w:rPr>
        <w:t xml:space="preserve"> (Notice ARC 1560C,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[Editorial change: IAC Supplement 2/18/15]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1891C</w:t>
      </w:r>
      <w:r>
        <w:rPr>
          <w:rFonts w:ascii="Times New Roman" w:hAnsi="Times New Roman"/>
          <w:b w:val="false"/>
          <w:i w:val="false"/>
          <w:color w:val="000000"/>
          <w:sz w:val="21"/>
        </w:rPr>
        <w:t xml:space="preserve"> (Notice ARC 1771C, IAB 12/10/14)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1971C</w:t>
      </w:r>
      <w:r>
        <w:rPr>
          <w:rFonts w:ascii="Times New Roman" w:hAnsi="Times New Roman"/>
          <w:b w:val="false"/>
          <w:i w:val="false"/>
          <w:color w:val="000000"/>
          <w:sz w:val="21"/>
        </w:rPr>
        <w:t xml:space="preserve"> (Notice ARC 1849C, IAB 2/4/15)</w:t>
      </w:r>
      <w:r>
        <w:rPr>
          <w:rFonts w:ascii="Times New Roman" w:hAnsi="Times New Roman"/>
          <w:b w:val="false"/>
          <w:i w:val="false"/>
          <w:color w:val="000000"/>
          <w:sz w:val="21"/>
        </w:rPr>
        <w:t>, IAB 4/29/15, effective 6/3/15]</w:t>
      </w:r>
      <w:r>
        <w:br/>
      </w:r>
      <w:r>
        <w:rPr>
          <w:rFonts w:ascii="Times New Roman" w:hAnsi="Times New Roman"/>
          <w:b w:val="false"/>
          <w:i w:val="false"/>
          <w:color w:val="000000"/>
          <w:sz w:val="21"/>
        </w:rPr>
        <w:t>[Filed ARC 1972C</w:t>
      </w:r>
      <w:r>
        <w:rPr>
          <w:rFonts w:ascii="Times New Roman" w:hAnsi="Times New Roman"/>
          <w:b w:val="false"/>
          <w:i w:val="false"/>
          <w:color w:val="000000"/>
          <w:sz w:val="21"/>
        </w:rPr>
        <w:t xml:space="preserve"> (Notice ARC 1853C, IAB 2/4/15)</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2396C</w:t>
      </w:r>
      <w:r>
        <w:rPr>
          <w:rFonts w:ascii="Times New Roman" w:hAnsi="Times New Roman"/>
          <w:b w:val="false"/>
          <w:i w:val="false"/>
          <w:color w:val="000000"/>
          <w:sz w:val="21"/>
        </w:rPr>
        <w:t xml:space="preserve"> (Notice ARC 2264C, IAB 11/25/15)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2455C</w:t>
      </w:r>
      <w:r>
        <w:rPr>
          <w:rFonts w:ascii="Times New Roman" w:hAnsi="Times New Roman"/>
          <w:b w:val="false"/>
          <w:i w:val="false"/>
          <w:color w:val="000000"/>
          <w:sz w:val="21"/>
        </w:rPr>
        <w:t xml:space="preserve"> (Notice ARC 2356C, IAB 1/6/16)</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2603C</w:t>
      </w:r>
      <w:r>
        <w:rPr>
          <w:rFonts w:ascii="Times New Roman" w:hAnsi="Times New Roman"/>
          <w:b w:val="false"/>
          <w:i w:val="false"/>
          <w:color w:val="000000"/>
          <w:sz w:val="21"/>
        </w:rPr>
        <w:t xml:space="preserve"> (Notice ARC 2355C, IAB 1/6/16)</w:t>
      </w:r>
      <w:r>
        <w:rPr>
          <w:rFonts w:ascii="Times New Roman" w:hAnsi="Times New Roman"/>
          <w:b w:val="false"/>
          <w:i w:val="false"/>
          <w:color w:val="000000"/>
          <w:sz w:val="21"/>
        </w:rPr>
        <w:t>, IAB 7/6/16, effective 8/10/16]</w:t>
      </w:r>
      <w:r>
        <w:br/>
      </w:r>
      <w:r>
        <w:rPr>
          <w:rFonts w:ascii="Times New Roman" w:hAnsi="Times New Roman"/>
          <w:b w:val="false"/>
          <w:i w:val="false"/>
          <w:color w:val="000000"/>
          <w:sz w:val="21"/>
        </w:rPr>
        <w:t>[Filed ARC 2607C</w:t>
      </w:r>
      <w:r>
        <w:rPr>
          <w:rFonts w:ascii="Times New Roman" w:hAnsi="Times New Roman"/>
          <w:b w:val="false"/>
          <w:i w:val="false"/>
          <w:color w:val="000000"/>
          <w:sz w:val="21"/>
        </w:rPr>
        <w:t xml:space="preserve"> (Notice ARC 2422C, IAB 3/2/16)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3742C</w:t>
      </w:r>
      <w:r>
        <w:rPr>
          <w:rFonts w:ascii="Times New Roman" w:hAnsi="Times New Roman"/>
          <w:b w:val="false"/>
          <w:i w:val="false"/>
          <w:color w:val="000000"/>
          <w:sz w:val="21"/>
        </w:rPr>
        <w:t xml:space="preserve"> (Notice ARC 3503C,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4212C</w:t>
      </w:r>
      <w:r>
        <w:rPr>
          <w:rFonts w:ascii="Times New Roman" w:hAnsi="Times New Roman"/>
          <w:b w:val="false"/>
          <w:i w:val="false"/>
          <w:color w:val="000000"/>
          <w:sz w:val="21"/>
        </w:rPr>
        <w:t xml:space="preserve"> (Notice ARC 4088C, IAB 10/24/18)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Emergency After Notice ARC 5089C</w:t>
      </w:r>
      <w:r>
        <w:rPr>
          <w:rFonts w:ascii="Times New Roman" w:hAnsi="Times New Roman"/>
          <w:b w:val="false"/>
          <w:i w:val="false"/>
          <w:color w:val="000000"/>
          <w:sz w:val="21"/>
        </w:rPr>
        <w:t xml:space="preserve"> (Notice ARC 5040C, IAB 5/20/20)</w:t>
      </w:r>
      <w:r>
        <w:rPr>
          <w:rFonts w:ascii="Times New Roman" w:hAnsi="Times New Roman"/>
          <w:b w:val="false"/>
          <w:i w:val="false"/>
          <w:color w:val="000000"/>
          <w:sz w:val="21"/>
        </w:rPr>
        <w:t>, IAB 7/15/20, effective 6/25/20]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8774C</w:t>
      </w:r>
      <w:r>
        <w:rPr>
          <w:rFonts w:ascii="Times New Roman" w:hAnsi="Times New Roman"/>
          <w:b w:val="false"/>
          <w:i w:val="false"/>
          <w:color w:val="000000"/>
          <w:sz w:val="21"/>
        </w:rPr>
        <w:t xml:space="preserve"> (Notice ARC 8323C, IAB 10/30/24)</w:t>
      </w:r>
      <w:r>
        <w:rPr>
          <w:rFonts w:ascii="Times New Roman" w:hAnsi="Times New Roman"/>
          <w:b w:val="false"/>
          <w:i w:val="false"/>
          <w:color w:val="000000"/>
          <w:sz w:val="21"/>
        </w:rPr>
        <w:t>, IAB 1/8/25, effective 2/12/25]</w:t>
      </w:r>
    </w:p>
    <w:p>
      <w:pPr>
        <w:pBdr>
          <w:bottom w:space="2"/>
        </w:pBdr>
        <w:spacing w:before="0" w:after="0"/>
        <w:ind w:left="120"/>
        <w:jc w:val="both"/>
      </w:pPr>
      <w:r>
        <w:rPr>
          <w:rFonts w:ascii="Times New Roman" w:hAnsi="Times New Roman"/>
          <w:b w:val="false"/>
          <w:i w:val="false"/>
          <w:color w:val="000000"/>
          <w:sz w:val="22"/>
        </w:rPr>
        <w:t>Adopted language of rule 875—72.22(89A) [ARC 6854B, 6/18/08] editorially restored IAC Supplement 2/18/15.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A.pdf" Type="http://schemas.openxmlformats.org/officeDocument/2006/relationships/hyperlink" Id="rId5"/>
    <Relationship TargetMode="External" Target="https://www.legis.iowa.gov/docs/iac/rule/875.72.1.pdf" Type="http://schemas.openxmlformats.org/officeDocument/2006/relationships/hyperlink" Id="rId6"/>
    <Relationship TargetMode="External" Target="https://www.legis.iowa.gov/docs/iac/rule/875.72.1.pdf" Type="http://schemas.openxmlformats.org/officeDocument/2006/relationships/hyperlink" Id="rId7"/>
    <Relationship TargetMode="External" Target="https://www.legis.iowa.gov/docs/iac/rule/875.72.1.pdf" Type="http://schemas.openxmlformats.org/officeDocument/2006/relationships/hyperlink" Id="rId8"/>
    <Relationship TargetMode="External" Target="https://www.legis.iowa.gov/docs/ico/chapter/89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