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ADMINISTRATION OF THE CONVEYANCE SAFETY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875—71.1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875—Chapters </w:t>
      </w:r>
      <w:hyperlink r:id="rId5">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“Acceptance checklist” </w:t>
      </w:r>
      <w:r>
        <w:rPr>
          <w:rFonts w:ascii="Times New Roman" w:hAnsi="Times New Roman"/>
          <w:b w:val="false"/>
          <w:i w:val="false"/>
          <w:color w:val="000000"/>
          <w:sz w:val="22"/>
        </w:rPr>
        <w:t>means a checklist available on the website of the department that includes a list of major systems and components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“AECO” </w:t>
      </w:r>
      <w:r>
        <w:rPr>
          <w:rFonts w:ascii="Times New Roman" w:hAnsi="Times New Roman"/>
          <w:b w:val="false"/>
          <w:i w:val="false"/>
          <w:color w:val="000000"/>
          <w:sz w:val="22"/>
        </w:rPr>
        <w:t>means an elevator/escalator certification organization accredited pursuant to ASME A17.7.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“CCD” </w:t>
      </w:r>
      <w:r>
        <w:rPr>
          <w:rFonts w:ascii="Times New Roman" w:hAnsi="Times New Roman"/>
          <w:b w:val="false"/>
          <w:i w:val="false"/>
          <w:color w:val="000000"/>
          <w:sz w:val="22"/>
        </w:rPr>
        <w:t>means code compliance documentation as described in ASME A17.7, Section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“CEI” </w:t>
      </w:r>
      <w:r>
        <w:rPr>
          <w:rFonts w:ascii="Times New Roman" w:hAnsi="Times New Roman"/>
          <w:b w:val="false"/>
          <w:i w:val="false"/>
          <w:color w:val="000000"/>
          <w:sz w:val="22"/>
        </w:rPr>
        <w:t>means a person who is a certified elevator inspector or certified elevator inspector supervisor and who received the certification from a certifying organization that holds a valid document of accreditation issued by an accreditation body in accordance with ANSI/ISO/IEC 17024.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of the elevator path” </w:t>
      </w:r>
      <w:r>
        <w:rPr>
          <w:rFonts w:ascii="Times New Roman" w:hAnsi="Times New Roman"/>
          <w:b w:val="false"/>
          <w:i w:val="false"/>
          <w:color w:val="000000"/>
          <w:sz w:val="22"/>
        </w:rPr>
        <w:t>means a vertical line through the center point of an elevator car top beginning two feet below the lower landing and ending ten feet above the highest landing of an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system governing the starting, stopping, direction of motion, acceleration, speed and deceleration of the moving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any elevator, escalator, material lift elevator installed on or after August 10, 2016, dumbwaiter, wind tower lift, CPH, or other equipment governed by Iowa Code chapter </w:t>
      </w:r>
      <w:hyperlink r:id="rId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w:t>
      </w:r>
      <w:r>
        <w:rPr>
          <w:rFonts w:ascii="Times New Roman" w:hAnsi="Times New Roman"/>
          <w:b w:val="false"/>
          <w:i w:val="false"/>
          <w:color w:val="000000"/>
          <w:sz w:val="22"/>
        </w:rPr>
        <w:t>means a construction personnel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jump” </w:t>
      </w:r>
      <w:r>
        <w:rPr>
          <w:rFonts w:ascii="Times New Roman" w:hAnsi="Times New Roman"/>
          <w:b w:val="false"/>
          <w:i w:val="false"/>
          <w:color w:val="000000"/>
          <w:sz w:val="22"/>
        </w:rPr>
        <w:t>means the addition or removal of mast or tower allowing a change in the hoist service elevation of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inspections, appeals,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 hoisting and lowering mechanism equipped with a car or platform that moves in guides in a substantially vertical direction and that serves two or more floors of a building or structure. “Elevator” does not include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mechanic” </w:t>
      </w:r>
      <w:r>
        <w:rPr>
          <w:rFonts w:ascii="Times New Roman" w:hAnsi="Times New Roman"/>
          <w:b w:val="false"/>
          <w:i w:val="false"/>
          <w:color w:val="000000"/>
          <w:sz w:val="22"/>
        </w:rPr>
        <w:t>means a person who meets the standard for “elevator personnel” found in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“Hoistway-unit system” </w:t>
      </w:r>
      <w:r>
        <w:rPr>
          <w:rFonts w:ascii="Times New Roman" w:hAnsi="Times New Roman"/>
          <w:b w:val="false"/>
          <w:i w:val="false"/>
          <w:color w:val="000000"/>
          <w:sz w:val="22"/>
        </w:rPr>
        <w:t>means a series of hoistway-door interlocks, hoistway-door electric contacts or hoistway-door combination mechanical locks and electric contacts, or a combination thereof, the function of which is to prevent operation of the driving machine by the normal operating device unless all hoistway doors are in the closed position and, if required,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one or more conditions or practices exist that are reasonably expected to cause death or serious physical harm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off” </w:t>
      </w:r>
      <w:r>
        <w:rPr>
          <w:rFonts w:ascii="Times New Roman" w:hAnsi="Times New Roman"/>
          <w:b w:val="false"/>
          <w:i w:val="false"/>
          <w:color w:val="000000"/>
          <w:sz w:val="22"/>
        </w:rPr>
        <w:t>means to place a conveyance controller in the off position and attach a wire seal with a tag warning that the conveyance must be rendered dormant or not used pending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danger” </w:t>
      </w:r>
      <w:r>
        <w:rPr>
          <w:rFonts w:ascii="Times New Roman" w:hAnsi="Times New Roman"/>
          <w:b w:val="false"/>
          <w:i w:val="false"/>
          <w:color w:val="000000"/>
          <w:sz w:val="22"/>
        </w:rPr>
        <w:t>means one or more conditions or practices exist that create a substantial probability that death or serious physical harm could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 waiver pursuant to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or an exception or variance pursuant to Iowa Code section </w:t>
      </w:r>
      <w:hyperlink r:id="rId10">
        <w:r>
          <w:rPr>
            <w:rStyle w:val="Hyperlink"/>
            <w:rFonts w:ascii="Times New Roman" w:hAnsi="Times New Roman"/>
            <w:b w:val="false"/>
            <w:i w:val="false"/>
            <w:color w:val="000000"/>
            <w:sz w:val="22"/>
          </w:rPr>
          <w:t>89A.11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 tower lift” </w:t>
      </w:r>
      <w:r>
        <w:rPr>
          <w:rFonts w:ascii="Times New Roman" w:hAnsi="Times New Roman"/>
          <w:b w:val="false"/>
          <w:i w:val="false"/>
          <w:color w:val="000000"/>
          <w:sz w:val="22"/>
        </w:rPr>
        <w:t>means a conveyance designed and utilized solely for movement of trained and authorized people and small loads in wind towers built for the production of electricity.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875—71.2</w:t>
      </w:r>
      <w:r>
        <w:rPr>
          <w:rFonts w:ascii="Times New Roman" w:hAnsi="Times New Roman"/>
          <w:b/>
          <w:i w:val="false"/>
          <w:color w:val="000000"/>
          <w:sz w:val="22"/>
        </w:rPr>
        <w:t xml:space="preserve">(89A) </w:t>
      </w:r>
      <w:r>
        <w:rPr>
          <w:rFonts w:ascii="Times New Roman" w:hAnsi="Times New Roman"/>
          <w:b/>
          <w:i w:val="false"/>
          <w:color w:val="000000"/>
          <w:sz w:val="22"/>
        </w:rPr>
        <w:t xml:space="preserve">Registration of conveyances. </w:t>
      </w:r>
      <w:r>
        <w:rPr>
          <w:rFonts w:ascii="Times New Roman" w:hAnsi="Times New Roman"/>
          <w:b w:val="false"/>
          <w:i w:val="false"/>
          <w:color w:val="000000"/>
          <w:sz w:val="22"/>
        </w:rPr>
        <w:t>The owner or authorized agent of each operable conveyance not previously registered shall register the conveyance. An application to install a new conveyance constitutes registration. All registrations are submitted to the director on forms available from the department and include all information requested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875—71.3</w:t>
      </w:r>
      <w:r>
        <w:rPr>
          <w:rFonts w:ascii="Times New Roman" w:hAnsi="Times New Roman"/>
          <w:b/>
          <w:i w:val="false"/>
          <w:color w:val="000000"/>
          <w:sz w:val="22"/>
        </w:rPr>
        <w:t xml:space="preserve">(89A) </w:t>
      </w:r>
      <w:r>
        <w:rPr>
          <w:rFonts w:ascii="Times New Roman" w:hAnsi="Times New Roman"/>
          <w:b/>
          <w:i w:val="false"/>
          <w:color w:val="000000"/>
          <w:sz w:val="22"/>
        </w:rPr>
        <w:t xml:space="preserve">State identification number. </w:t>
      </w:r>
      <w:r>
        <w:rPr>
          <w:rFonts w:ascii="Times New Roman" w:hAnsi="Times New Roman"/>
          <w:b w:val="false"/>
          <w:i w:val="false"/>
          <w:color w:val="000000"/>
          <w:sz w:val="22"/>
        </w:rPr>
        <w:t>The director will assign an identification number to each conveyance that shall be stamped on a metal tag permanently attached to the controller, to the electrical disconnecting switch, or in a wind tower lift cage.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875—71.4</w:t>
      </w:r>
      <w:r>
        <w:rPr>
          <w:rFonts w:ascii="Times New Roman" w:hAnsi="Times New Roman"/>
          <w:b/>
          <w:i w:val="false"/>
          <w:color w:val="000000"/>
          <w:sz w:val="22"/>
        </w:rPr>
        <w:t xml:space="preserve">(89A) </w:t>
      </w:r>
      <w:r>
        <w:rPr>
          <w:rFonts w:ascii="Times New Roman" w:hAnsi="Times New Roman"/>
          <w:b/>
          <w:i w:val="false"/>
          <w:color w:val="000000"/>
          <w:sz w:val="22"/>
        </w:rPr>
        <w:t xml:space="preserve">Responsibility for obtaining permits. </w:t>
      </w:r>
      <w:r>
        <w:rPr>
          <w:rFonts w:ascii="Times New Roman" w:hAnsi="Times New Roman"/>
          <w:b w:val="false"/>
          <w:i w:val="false"/>
          <w:color w:val="000000"/>
          <w:sz w:val="22"/>
        </w:rPr>
        <w:t>The procuring of all permits and the payment of all fees required by this chapter are the responsibility of the owner. Failure to obtain the appropriate permit prior to installation, alteration or operation may, at the discretion of the director, result in a referral to the attorney general for prosecution of criminal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875—71.5</w:t>
      </w:r>
      <w:r>
        <w:rPr>
          <w:rFonts w:ascii="Times New Roman" w:hAnsi="Times New Roman"/>
          <w:b/>
          <w:i w:val="false"/>
          <w:color w:val="000000"/>
          <w:sz w:val="22"/>
        </w:rPr>
        <w:t xml:space="preserve">(89A) </w:t>
      </w:r>
      <w:r>
        <w:rPr>
          <w:rFonts w:ascii="Times New Roman" w:hAnsi="Times New Roman"/>
          <w:b/>
          <w:i w:val="false"/>
          <w:color w:val="000000"/>
          <w:sz w:val="22"/>
        </w:rPr>
        <w:t xml:space="preserve">Installation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Installation will not begin until an installation permit has been issued by the department. A separate installation permit will be issued for each conveyance, except that a single installation permit will cover all identical wind tower lifts installed as the result of one construction contract in identical wind towers in a single wind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Application for an installation permit shall be accompanied by the fee, in the format required by the director, and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Sectional plan of car and hoistway.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Sectional plan of machine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Sectional elevation of hoistway and machine room including the pit, bottom and top clearance of car and counterweights.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Size and weight of rails and guide rail bracket spacing.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estimated maximum vertical forces on the guide rails on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freight elevators for class B or class C loading, the horizontal forces on the guide rail faces during loading and unloading and the estimated maximum horizontal forces in a post-wise direction on the guide rail faces on the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size and weight per foot of any rail reinforcements where rail reinforcements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Job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 conveyance covered by ASME A17.7, a complete copy of the CCD with attachments and a complete copy of the Certificate of Conformance with attachments as described by ASME A17.7, Appendix I, Section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CPH, the number of CPH jumps planned, the planned dates for each CPH jump, and the change in the number of floors anticipated with each CPH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CPH installation permit issued in response to an application submitted in full compliance with this subrule permits each planned CPH jump. Each CPH jump will be considered an alteration. The fee for a CPH installation permit is the total of the CPH installation permit fee and the CPH alteration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Issuance of an installation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The installation permit or a copy of the installation permit shall be conspicuously posted at the worksite. All the wind towers covered by a single installation permit are a single worksite, and posting one copy of the installation permit at the construction project office is sufficient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val="false"/>
          <w:color w:val="000000"/>
          <w:sz w:val="22"/>
        </w:rPr>
        <w:t>Except as described here, the installation permit expires upon the earlier of the completion of the installation as described in the permit application or one year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CPH, the installation permit expires upon completion of the last CPH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conveyance, during the tenth month after issuance, and upon submission to the director of sufficient justification, the fee established by this chapter, and other required information, an extension may be granted at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875—71.6</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permits—requirements. </w:t>
      </w:r>
      <w:r>
        <w:rPr>
          <w:rFonts w:ascii="Times New Roman" w:hAnsi="Times New Roman"/>
          <w:b w:val="false"/>
          <w:i w:val="false"/>
          <w:color w:val="000000"/>
          <w:sz w:val="22"/>
        </w:rPr>
        <w:t>A construction permit authorizes the temporary, limited use of an elevator for purposes relating to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Use of the elevator will not begin until a construction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will be in the format required by the director and must include all the information requested by the director and the fee specified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completed application and fee, a state inspector will be scheduled to inspect the elevator. Construction permits will be issued only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elevator has been successfully tested pursuant to the requirements of ASME A17.1, Section 8.11.5.13;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requirements of ASME A17.1, Section 5.10,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or a copy of the construction permit will be posted conspicuously in a protective sleeve in the elevator car.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will expire 120 days after issuance. However, between 90 and 110 days after issuance and upon submission to the director of sufficient justification, the fee established by this chapter, and other required information, an extension of up to 90 days may be granted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val="false"/>
          <w:color w:val="000000"/>
          <w:sz w:val="22"/>
        </w:rPr>
        <w:t>Elevators with a construction permit but without an operating permit will not be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provisions may result in the revocation of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w:t>
      </w:r>
      <w:r>
        <w:rPr>
          <w:rFonts w:ascii="Times New Roman" w:hAnsi="Times New Roman"/>
          <w:b w:val="false"/>
          <w:i w:val="false"/>
          <w:color w:val="000000"/>
          <w:sz w:val="22"/>
        </w:rPr>
        <w:t> </w:t>
      </w:r>
      <w:r>
        <w:rPr>
          <w:rFonts w:ascii="Times New Roman" w:hAnsi="Times New Roman"/>
          <w:b w:val="false"/>
          <w:i w:val="false"/>
          <w:color w:val="000000"/>
          <w:sz w:val="22"/>
        </w:rPr>
        <w:t>An operating permit will not be issued before construction and an acceptance inspection are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875—71.7</w:t>
      </w:r>
      <w:r>
        <w:rPr>
          <w:rFonts w:ascii="Times New Roman" w:hAnsi="Times New Roman"/>
          <w:b/>
          <w:i w:val="false"/>
          <w:color w:val="000000"/>
          <w:sz w:val="22"/>
        </w:rPr>
        <w:t xml:space="preserve">(89A) </w:t>
      </w:r>
      <w:r>
        <w:rPr>
          <w:rFonts w:ascii="Times New Roman" w:hAnsi="Times New Roman"/>
          <w:b/>
          <w:i w:val="false"/>
          <w:color w:val="000000"/>
          <w:sz w:val="22"/>
        </w:rPr>
        <w:t xml:space="preserve">Operating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Operation of equipment covered by this chapter without a current operating permit is prohibited, except for construction permits, controller upgrade permits, and temporary removals from service, all defined in this chapter. If operation of a conveyance is prohibited under this rule, the director may post notice on the conveyance that it is not to be used. The conveyance may be returned to service only after an operating permit for the conveyance has been issued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Operating permits will not be issued prior to successful completion of an inspection and payment of all permit and inspection fees owed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Current operating permits or copies of current operating permits will be conspicuously displayed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elevator or CPH will be posted in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escalator, dumbwaiter, wind tower lift, moving walk, or wheelchair lift will be posted on or near the subject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An operating permit expires 60 days after the first permit renewal inspection following the issuance of the operating permit, unless an earlier date is dictated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suspended when an alteration begins. The operating permit automatically resumes when the elevator passes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terminated when an imminent danger notice is posted on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71.7(7)</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this rule, at the discretion of the director, a temporary operating permit may be issued for up to 30 days provided the inspection has been completed and no code violations were identified. Issuance of a temporary operating permit does not extend the expiration date of the conveyance’s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875—71.8</w:t>
      </w:r>
      <w:r>
        <w:rPr>
          <w:rFonts w:ascii="Times New Roman" w:hAnsi="Times New Roman"/>
          <w:b/>
          <w:i w:val="false"/>
          <w:color w:val="000000"/>
          <w:sz w:val="22"/>
        </w:rPr>
        <w:t xml:space="preserve">(89A) </w:t>
      </w:r>
      <w:r>
        <w:rPr>
          <w:rFonts w:ascii="Times New Roman" w:hAnsi="Times New Roman"/>
          <w:b/>
          <w:i w:val="false"/>
          <w:color w:val="000000"/>
          <w:sz w:val="22"/>
        </w:rPr>
        <w:t xml:space="preserve">Controller upgrade permits—requirements. </w:t>
      </w:r>
      <w:r>
        <w:rPr>
          <w:rFonts w:ascii="Times New Roman" w:hAnsi="Times New Roman"/>
          <w:b w:val="false"/>
          <w:i w:val="false"/>
          <w:color w:val="000000"/>
          <w:sz w:val="22"/>
        </w:rPr>
        <w:t>A controller upgrade permit may be issued to allow operation of an elevator while work to upgrade controls requires deactivation of the Phase I recall initiated by smoke sensing devices. Each elevator to be altered requires a separate controller upgrade permit. The duration of a controller upgrade permit will not exceed 90 days. Each elevator in the group will pass inspection prior to being placed back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will not be issued unless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elevators share a lobby at the level of the recall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includes the installation of new elevator controllers in all of the elevators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Phase I fire recall initiated by a key-operated switch and all other controls will be properly functioning for each elevator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current alteration permit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application for the controller upgrade permit and the fee established by this chapter have been submitted and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does not waive or excuse compliance with the requirements of any other governmental entity, including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Upon the submission to the director of sufficient justification, the fee established by this chapter, and other required information, an extension of the permit for up to 60 days may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875—71.9</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Alteration will not begin until an alteration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Application for an alteration permit will be in the format required by the director and will include scope of work, drawings and specifications of all planned changes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Issuance of an alteration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The alteration permit or a copy of the alteration permit will be conspicuously posted at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complete installation permit application was submitted for a CPH pursuant to subrule </w:t>
      </w:r>
      <w:r>
        <w:rPr>
          <w:rFonts w:ascii="Times New Roman" w:hAnsi="Times New Roman"/>
          <w:b w:val="false"/>
          <w:i w:val="false"/>
          <w:color w:val="000000"/>
          <w:sz w:val="22"/>
        </w:rPr>
        <w:t>71.5(3)</w:t>
      </w:r>
      <w:r>
        <w:rPr>
          <w:rFonts w:ascii="Times New Roman" w:hAnsi="Times New Roman"/>
          <w:b w:val="false"/>
          <w:i w:val="false"/>
          <w:color w:val="000000"/>
          <w:sz w:val="22"/>
        </w:rPr>
        <w:t>, at least seven days’ advance notice of each CPH jump will be provided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val="false"/>
          <w:color w:val="000000"/>
          <w:sz w:val="22"/>
        </w:rPr>
        <w:t>The alteration permit expires upon the earlier of the completion of the alteration as described in the permit application or one year after issuance. However, during the tenth month after issuance and upon submission to the director of the fee set forth in this chapter, sufficient justification, and other required information, the director may grant an extension of the alteration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875—71.10</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val="false"/>
          <w:color w:val="000000"/>
          <w:sz w:val="22"/>
        </w:rPr>
        <w:t>Alterations or changes will comply with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val="false"/>
          <w:color w:val="000000"/>
          <w:sz w:val="22"/>
        </w:rPr>
        <w:t>A conveyance that is relocated will be brought into compliance with all codes that are applicable at the time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71.10(3)</w:t>
      </w:r>
      <w:r>
        <w:rPr>
          <w:rFonts w:ascii="Times New Roman" w:hAnsi="Times New Roman"/>
          <w:b w:val="false"/>
          <w:i w:val="false"/>
          <w:color w:val="000000"/>
          <w:sz w:val="22"/>
        </w:rPr>
        <w:t> </w:t>
      </w:r>
      <w:r>
        <w:rPr>
          <w:rFonts w:ascii="Times New Roman" w:hAnsi="Times New Roman"/>
          <w:b w:val="false"/>
          <w:i w:val="false"/>
          <w:color w:val="000000"/>
          <w:sz w:val="22"/>
        </w:rPr>
        <w:t>Alterations of conveyances other than escalators and elevators require that the entire conveyance be brought into compliance with the current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71.10(4)</w:t>
      </w:r>
      <w:r>
        <w:rPr>
          <w:rFonts w:ascii="Times New Roman" w:hAnsi="Times New Roman"/>
          <w:b w:val="false"/>
          <w:i w:val="false"/>
          <w:color w:val="000000"/>
          <w:sz w:val="22"/>
        </w:rPr>
        <w:t> </w:t>
      </w:r>
      <w:r>
        <w:rPr>
          <w:rFonts w:ascii="Times New Roman" w:hAnsi="Times New Roman"/>
          <w:b w:val="false"/>
          <w:i w:val="false"/>
          <w:color w:val="000000"/>
          <w:sz w:val="22"/>
        </w:rPr>
        <w:t>Work required by ASME A17.3 (2011) qualifies as normal maintenance and does not require an alteration permit except for work performed to comply with ASME A17.3 (2011) 2.3.3, 3.4.4.1(a), 3.4.4.2, 3.5.3, 3.5.5(a) and (b), 3.5.7, 3.6.1, 3.6.2, 3.8.1(a), 3.8.3(a), 3.10.1, 3.10.4(b) through (g), 3.10.4(i) through (k), 3.10.4(m), 3.10.4(r), 3.10.4(w), 3.10.7, 3.10.9, 3.10.10, 4.4.2, 4.4.3, and 4.7.3.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875—71.11</w:t>
      </w:r>
      <w:r>
        <w:rPr>
          <w:rFonts w:ascii="Times New Roman" w:hAnsi="Times New Roman"/>
          <w:b/>
          <w:i w:val="false"/>
          <w:color w:val="000000"/>
          <w:sz w:val="22"/>
        </w:rPr>
        <w:t xml:space="preserve">(89A)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89A.12</w:t>
        </w:r>
      </w:hyperlink>
      <w:r>
        <w:rPr>
          <w:rFonts w:ascii="Times New Roman" w:hAnsi="Times New Roman"/>
          <w:b w:val="false"/>
          <w:i w:val="false"/>
          <w:color w:val="000000"/>
          <w:sz w:val="22"/>
        </w:rPr>
        <w:t>, inspections by the director will be permitted at reasonable times with or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color w:val="000000"/>
          <w:sz w:val="22"/>
        </w:rPr>
        <w:t xml:space="preserve">Scope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w:t>
      </w:r>
      <w:r>
        <w:rPr>
          <w:rFonts w:ascii="Times New Roman" w:hAnsi="Times New Roman"/>
          <w:b w:val="false"/>
          <w:i w:val="false"/>
          <w:color w:val="000000"/>
          <w:sz w:val="22"/>
        </w:rPr>
        <w:t>Periodic inspections will be comprehensive. Elevators being transferred from construction permits to operating permits, previously dormant conveyances being returned to service, relocated conveyances, and new conveyances will be inspected in their entirety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w:t>
      </w:r>
      <w:r>
        <w:rPr>
          <w:rFonts w:ascii="Times New Roman" w:hAnsi="Times New Roman"/>
          <w:b w:val="false"/>
          <w:i w:val="false"/>
          <w:color w:val="000000"/>
          <w:sz w:val="22"/>
        </w:rPr>
        <w:t>An alteration inspection is normally limited to the altered components. If the inspector notices a safety hazard in plain view during an inspection after alteration, or if the periodic inspection is due, the entire conveyance will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color w:val="000000"/>
          <w:sz w:val="22"/>
        </w:rPr>
        <w:t xml:space="preserve">When inspections will occur. </w:t>
      </w:r>
      <w:r>
        <w:rPr>
          <w:rFonts w:ascii="Times New Roman" w:hAnsi="Times New Roman"/>
          <w:b w:val="false"/>
          <w:i w:val="false"/>
          <w:color w:val="000000"/>
          <w:sz w:val="22"/>
        </w:rPr>
        <w:t>When the timing of two different types of inspection on a single conveyance coincide, a state inspector may perform both inspections in one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construction elevator and CPH will be inspected at intervals not to exceed three months. All other periodic conveyance inspections by state inspectors are conducted annually unless the director determines resources do not allow annual inspections. If the director determines quarterly inspections of construction elevators and CPHs and annual inspections of other state-inspected conveyances are not feasible due to insufficient resources, the director will determine the inspection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Conveyance inspections by special inspectors will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will arrange to perform the periodic inspection of a broadcast tower elevator when the maintenance company is on site to perform the periodic tests. If the inspection is to be performed by employees of the director, the inspection will occur during the department’s normal business hours, unless otherwise agreed to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 xml:space="preserve">A CPH will be inspected pursuant to the schedule in ANSI A10.4 – 2007, Chapter </w:t>
      </w:r>
      <w:r>
        <w:rPr>
          <w:rFonts w:ascii="Times New Roman" w:hAnsi="Times New Roman"/>
          <w:b w:val="false"/>
          <w:i w:val="false"/>
          <w:color w:val="000000"/>
          <w:sz w:val="22"/>
        </w:rPr>
        <w:t>26</w:t>
      </w:r>
      <w:r>
        <w:rPr>
          <w:rFonts w:ascii="Times New Roman" w:hAnsi="Times New Roman"/>
          <w:b w:val="false"/>
          <w:i w:val="false"/>
          <w:color w:val="000000"/>
          <w:sz w:val="22"/>
        </w:rPr>
        <w:t>. For all other conveyances, an acceptance inspection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each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new installation, not less than two business days after a completed acceptance checklist is submitted by the conveyance installation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an elevator subject to a construction permit receives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Before a previously dormant conveyance is returned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inspections. </w:t>
      </w:r>
      <w:r>
        <w:rPr>
          <w:rFonts w:ascii="Times New Roman" w:hAnsi="Times New Roman"/>
          <w:b w:val="false"/>
          <w:i w:val="false"/>
          <w:color w:val="000000"/>
          <w:sz w:val="22"/>
        </w:rPr>
        <w:t>Inspections may be made when the director reasonably believes that a conveyance is not in compliance with the rules. Accidents, complaints, or requests for consultative inspections may result in inspections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71.11(3)</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inspect altered conveyances, construction elevators, CPHs, previously dormant conveyances being returned to service, relocated conveyances, and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noted in </w:t>
      </w:r>
      <w:r>
        <w:rPr>
          <w:rFonts w:ascii="Times New Roman" w:hAnsi="Times New Roman"/>
          <w:b w:val="false"/>
          <w:i w:val="false"/>
          <w:color w:val="000000"/>
          <w:sz w:val="22"/>
        </w:rPr>
        <w:t>71.11(3)</w:t>
      </w:r>
      <w:r>
        <w:rPr>
          <w:rFonts w:ascii="Times New Roman" w:hAnsi="Times New Roman"/>
          <w:b w:val="false"/>
          <w:i/>
          <w:color w:val="000000"/>
          <w:sz w:val="22"/>
        </w:rPr>
        <w:t>“c,”</w:t>
      </w:r>
      <w:r>
        <w:rPr>
          <w:rFonts w:ascii="Times New Roman" w:hAnsi="Times New Roman"/>
          <w:b w:val="false"/>
          <w:i w:val="false"/>
          <w:color w:val="000000"/>
          <w:sz w:val="22"/>
        </w:rPr>
        <w:t xml:space="preserve"> annual inspections may be performed by state inspectors or special inspectors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inspection report by a special inspector will not be accepted as the required, annual inspection if the conveyance is under contract for maintenance, installation or alteration by the special inspector or the special inspector’s employer, or if the property is owned or leased by the special inspector or the special inspector’s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71.11(4)</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w:t>
      </w:r>
      <w:r>
        <w:rPr>
          <w:rFonts w:ascii="Times New Roman" w:hAnsi="Times New Roman"/>
          <w:b w:val="false"/>
          <w:i w:val="false"/>
          <w:color w:val="000000"/>
          <w:sz w:val="22"/>
        </w:rPr>
        <w:t>Inspections will be performed in accordance with applicable safety codes or documents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A17.1, Sections 8.10 and 8.11, except Section 8.11.1.1;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A10.4-2007;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71.11(5)</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inspectors will file inspection reports on forms approved by the director within 30 days from the date of inspection and will provide owners of conveyances with copies of completed inspection reports. The inspection report must separately list each unsafe condition and the applicable, specific code citation. Up to 30 days will be allowed for correction of the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may file a petition for reconsideration of an inspection report. The timely and proper filing of a petition for reconsideration extends the deadline for correction of the hazards that are subject to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71.11(6)</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The owner may petition the director for up to 60 additional days to make the necessary corrections. The time frames may be adjusted by the director as necessary to accommodate an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71.11(7)</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unsafe conditions. </w:t>
      </w:r>
      <w:r>
        <w:rPr>
          <w:rFonts w:ascii="Times New Roman" w:hAnsi="Times New Roman"/>
          <w:b w:val="false"/>
          <w:i w:val="false"/>
          <w:color w:val="000000"/>
          <w:sz w:val="22"/>
        </w:rPr>
        <w:t>In the absence of a determination on reconsideration or appeal that correction of hazards is not required, all unsafe conditions identified in the inspection report will be corrected. The director will verify correction of all unsafe conditions identified in the inspection report by sending a state inspector to reinspect the conveyance for the applicable fee, or by reviewing appropriate documentation such as a photograph, invoice, other verifiable document, or subsequent inspection report. The time frames set forth in this subrule may be accelerated at the request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Promptly upon receipt of an inspection report listing unsafe conditions, the director will send to the owner and the special inspector, if any, an abatement order. A copy of the inspection report will be attached to the abatement order. Unless a special inspector conducted the inspection, the order may specify a period that ends no more than 45 days after the inspection during which the owner may submit written evidence that the unsafe conditions have been corrected. The abatement order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Demand that the unsafe conditions be corrected within the period set forth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forth the consequences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period specified on the inspection report has passed, the director may cause a state inspector to verify correction of all unsafe conditions. If reinspection reveals no significant progress toward correcting the unsafe conditions, or the remaining unsafe conditions create significant safety concerns, the director may serve a notice of intent to suspend, deny or revoke the operating permit.</w:t>
      </w:r>
    </w:p>
    <w:p>
      <w:pPr>
        <w:spacing w:before="0" w:after="0"/>
        <w:ind w:left="120"/>
        <w:jc w:val="both"/>
      </w:pPr>
      <w:r>
        <w:rPr>
          <w:rFonts w:ascii="Times New Roman" w:hAnsi="Times New Roman"/>
          <w:b w:val="false"/>
          <w:i w:val="false"/>
          <w:color w:val="000000"/>
          <w:sz w:val="22"/>
        </w:rPr>
        <w:t>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operating permit after receipt of the appropriate fee and verification that each unsafe condition identified in the inspection report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written proof of correction was requested in the abatement order, but adequate proof was not received by the deadline set forth in the abatement order, the director may send a second abatement order or cause a state inspector to inspect the conveyance. If the director elects to send a second abatement order, it will notify the owner that, if written proof of abatement is not received within 20 days, a state inspector may be sent to the site. Copies of the abatement order and the inspection report will be attached to the second abatement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special inspector conducted the inspection, more than 45 days have passed since the deadline for correction of hazards, and an inspection report indicating the hazards are corrected has not been filed,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a second abatement order to the owner with copies of the inspection report and first abatement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a state inspector to inspect the conveyance. 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as described in paragraph </w:t>
      </w:r>
      <w:r>
        <w:rPr>
          <w:rFonts w:ascii="Times New Roman" w:hAnsi="Times New Roman"/>
          <w:b w:val="false"/>
          <w:i w:val="false"/>
          <w:color w:val="000000"/>
          <w:sz w:val="22"/>
        </w:rPr>
        <w:t>71.11(7)</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reveals no significant progress toward correcting the unsafe conditions, and the remaining unsafe conditions create no significant safety concerns, the director may extend the time for abatement of the unsafe conditions an additional ten days or may serve a notice of intent to suspend, deny or revoke the operating permit. The director may also post a notice prohibiting use of the conveyance pending abatement of the unsafe conditions listed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abatement order was provided and a conveyance is not in use and the owner does not intend to use the conveyance, repair the conveyance, or make the conveyance dormant, the director may seal off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71.11(8)</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 xml:space="preserve">If the director determines that continued operation of a conveyance pending correction of unsafe conditions creates an imminent danger, the director may seal off the conveyance and post notice on the conveyance that it is not to be used pending repairs. Use of a conveyance contrary to posted notice by the director may result in additional legal proceedings pursuant to Iowa Code section </w:t>
      </w:r>
      <w:hyperlink r:id="rId12">
        <w:r>
          <w:rPr>
            <w:rStyle w:val="Hyperlink"/>
            <w:rFonts w:ascii="Times New Roman" w:hAnsi="Times New Roman"/>
            <w:b w:val="false"/>
            <w:i w:val="false"/>
            <w:color w:val="000000"/>
            <w:sz w:val="22"/>
          </w:rPr>
          <w:t>89A.10(3)</w:t>
        </w:r>
      </w:hyperlink>
      <w:r>
        <w:rPr>
          <w:rFonts w:ascii="Times New Roman" w:hAnsi="Times New Roman"/>
          <w:b w:val="false"/>
          <w:i w:val="false"/>
          <w:color w:val="000000"/>
          <w:sz w:val="22"/>
        </w:rPr>
        <w:t xml:space="preserve"> or 89A.18. The conveyance may be returned to service only after the imminent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71.11(9)</w:t>
      </w:r>
      <w:r>
        <w:rPr>
          <w:rFonts w:ascii="Times New Roman" w:hAnsi="Times New Roman"/>
          <w:b w:val="false"/>
          <w:i w:val="false"/>
          <w:color w:val="000000"/>
          <w:sz w:val="22"/>
        </w:rPr>
        <w:t> </w:t>
      </w:r>
      <w:r>
        <w:rPr>
          <w:rFonts w:ascii="Times New Roman" w:hAnsi="Times New Roman"/>
          <w:b w:val="false"/>
          <w:i/>
          <w:color w:val="000000"/>
          <w:sz w:val="22"/>
        </w:rPr>
        <w:t xml:space="preserve">Interference prohibited. </w:t>
      </w:r>
      <w:r>
        <w:rPr>
          <w:rFonts w:ascii="Times New Roman" w:hAnsi="Times New Roman"/>
          <w:b w:val="false"/>
          <w:i w:val="false"/>
          <w:color w:val="000000"/>
          <w:sz w:val="22"/>
        </w:rPr>
        <w:t>No person shall interfere with, delay or impede an inspector employed by the state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71.11(10)</w:t>
      </w:r>
      <w:r>
        <w:rPr>
          <w:rFonts w:ascii="Times New Roman" w:hAnsi="Times New Roman"/>
          <w:b w:val="false"/>
          <w:i w:val="false"/>
          <w:color w:val="000000"/>
          <w:sz w:val="22"/>
        </w:rPr>
        <w:t> </w:t>
      </w:r>
      <w:r>
        <w:rPr>
          <w:rFonts w:ascii="Times New Roman" w:hAnsi="Times New Roman"/>
          <w:b w:val="false"/>
          <w:i/>
          <w:color w:val="000000"/>
          <w:sz w:val="22"/>
        </w:rPr>
        <w:t xml:space="preserve">Escalator inspections. </w:t>
      </w:r>
      <w:r>
        <w:rPr>
          <w:rFonts w:ascii="Times New Roman" w:hAnsi="Times New Roman"/>
          <w:b w:val="false"/>
          <w:i w:val="false"/>
          <w:color w:val="000000"/>
          <w:sz w:val="22"/>
        </w:rPr>
        <w:t>The owner will arrange for an escalator mechanic to be on site to assist with the inspection. The inspector will work with the owner to arrange an inspection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875—71.12</w:t>
      </w:r>
      <w:r>
        <w:rPr>
          <w:rFonts w:ascii="Times New Roman" w:hAnsi="Times New Roman"/>
          <w:b/>
          <w:i w:val="false"/>
          <w:color w:val="000000"/>
          <w:sz w:val="22"/>
        </w:rPr>
        <w:t xml:space="preserve">(89A,252J,272D)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“certificate of noncompliance”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will possess a high school diploma or general equivalency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applicant will have at least three years of full-time work experience in the construction, installation, repair or inspection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applicant will be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applicant will satisfactorily pass the department’s examination on Iowa procedures, Iowa policies, and all safety standards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applicant will submit proof of insurance coverage insuring the applicant against liability for injury or death for any act or omission on the part of the applicant. The insurance policy will be in an amount of not less than $1,000,000 for bodily injury to or death of one person in any one accident, and in an amount of not less than $5,000,000 for bodily injury to or death of two or more persons in any one accident, and in an amount of not less than $100,000 for damage to or destruction of property in any one accident. The insurance coverage of the special inspector’s employer complies with this requirement if the coverage provides equivalent coverage for each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for a commission will complete, sign, and submit to the department the form provided by the department with the required fee. The applicant will include with the application proof that the applicant is a CEI.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expires when the commission is suspended or revoked by the director or one year from issuance,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71.12(6)</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of the applicant to complete an application package, if the applicant is not a CEI, or for any reason listed in subrules </w:t>
      </w:r>
      <w:r>
        <w:rPr>
          <w:rFonts w:ascii="Times New Roman" w:hAnsi="Times New Roman"/>
          <w:b w:val="false"/>
          <w:i w:val="false"/>
          <w:color w:val="000000"/>
          <w:sz w:val="22"/>
        </w:rPr>
        <w:t>71.12(8) through 71.12(10)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71.12(7)</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director may investigate for any reasonable cause related to special inspectors or special inspector applicants. The director may conduct interviews and utilize other reasonable investigatory techniques. Investigations may be conducted without prior notice at the times and in the places the director directs. The director may notify the organization that certified the special inspector as a CEI of the findings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71.12(8)</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71.12(9)</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numerous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71.12(10)</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repeated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272D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will serve a notice on the special inspector by certified mail to an address listed on the commission application form or by other service as permitted by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If the director finds that the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will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surrender the special inspector’s commission card to the director. The director may notify the special inspector’s employer and the organization that certified the special inspector as a CEI of a revocation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875—71.13</w:t>
      </w:r>
      <w:r>
        <w:rPr>
          <w:rFonts w:ascii="Times New Roman" w:hAnsi="Times New Roman"/>
          <w:b/>
          <w:i w:val="false"/>
          <w:color w:val="000000"/>
          <w:sz w:val="22"/>
        </w:rPr>
        <w:t xml:space="preserve">(89A) </w:t>
      </w:r>
      <w:r>
        <w:rPr>
          <w:rFonts w:ascii="Times New Roman" w:hAnsi="Times New Roman"/>
          <w:b/>
          <w:i w:val="false"/>
          <w:color w:val="000000"/>
          <w:sz w:val="22"/>
        </w:rPr>
        <w:t xml:space="preserve">Safety tests. </w:t>
      </w:r>
      <w:r>
        <w:rPr>
          <w:rFonts w:ascii="Times New Roman" w:hAnsi="Times New Roman"/>
          <w:b w:val="false"/>
          <w:i w:val="false"/>
          <w:color w:val="000000"/>
          <w:sz w:val="22"/>
        </w:rPr>
        <w:t>Only safety test reports submitted on approved forms from elevator mechanics who are employed by authorized companies meet the requirements of this rule. The alternative test methods set forth at ASME A17.1, Rule 8.6.11.10, are not allowed as a substitute for a full-load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When safety tests will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tests are performed on new and altered installations before they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Category 1 safety tests of wind turbine tower elevators are conducted after two years of operation, and category 5 safety tests of wind turbine tower elevators are performed after ten years of operation. Safety tests shall be made on all other conveyances pursuant to the schedules and procedures set forth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maintenance control plan for wind tower lifts exempted from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CCD for conveyances covered by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columns pertaining to “periodic tests” in Table N-1 in the edition of ASME A17.1 currently adopted for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ASME A</w:t>
      </w:r>
      <w:r>
        <w:rPr>
          <w:rFonts w:ascii="Times New Roman" w:hAnsi="Times New Roman"/>
          <w:b w:val="false"/>
          <w:i w:val="false"/>
          <w:color w:val="000000"/>
          <w:sz w:val="22"/>
        </w:rPr>
        <w:t>18.1(2003)</w:t>
      </w:r>
      <w:r>
        <w:rPr>
          <w:rFonts w:ascii="Times New Roman" w:hAnsi="Times New Roman"/>
          <w:b w:val="false"/>
          <w:i w:val="false"/>
          <w:color w:val="000000"/>
          <w:sz w:val="22"/>
        </w:rPr>
        <w:t>, Part 10;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ANSI A10.4-2007, Section 26.4.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reported. </w:t>
      </w:r>
      <w:r>
        <w:rPr>
          <w:rFonts w:ascii="Times New Roman" w:hAnsi="Times New Roman"/>
          <w:b w:val="false"/>
          <w:i w:val="false"/>
          <w:color w:val="000000"/>
          <w:sz w:val="22"/>
        </w:rPr>
        <w:t>Within 30 days after completion of a safety test, the elevator mechanic shall file with the director a report on an approved form and provide a copy of the form to the owner and to the witness,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recorded. </w:t>
      </w:r>
      <w:r>
        <w:rPr>
          <w:rFonts w:ascii="Times New Roman" w:hAnsi="Times New Roman"/>
          <w:b w:val="false"/>
          <w:i w:val="false"/>
          <w:color w:val="000000"/>
          <w:sz w:val="22"/>
        </w:rPr>
        <w:t>The elevator mechanic shall attach a tag showing the date of the test, the elevator mechanic’s name, and the type of test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electric traction elevators, the elevator mechanic attaches the tag to the safety-releasing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hydraulic elevators, the elevator mechanic attaches the tag to the disconnecting switch or the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wheelchair lifts, the elevator mechanic attaches the tag to the disconnecting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other conveyances covered by these rules, the director witnessing the acceptance safety test will indicate the proper location of the tag. Subsequent test tags are attached in the same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875—71.14</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Authorized companies—requirements.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Each year, authorized companies will train their elevator mechanics who perform safety tests on safety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For each conveyance owned by an authorized company, the owner will obtain the services of a CEI who is not employed by the authorized company or an inspector employed by the state to witness the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71.14(3)</w:t>
      </w:r>
      <w:r>
        <w:rPr>
          <w:rFonts w:ascii="Times New Roman" w:hAnsi="Times New Roman"/>
          <w:b w:val="false"/>
          <w:i w:val="false"/>
          <w:color w:val="000000"/>
          <w:sz w:val="22"/>
        </w:rPr>
        <w:t> </w:t>
      </w:r>
      <w:r>
        <w:rPr>
          <w:rFonts w:ascii="Times New Roman" w:hAnsi="Times New Roman"/>
          <w:b w:val="false"/>
          <w:i w:val="false"/>
          <w:color w:val="000000"/>
          <w:sz w:val="22"/>
        </w:rPr>
        <w:t>To become authorized to perform safety tests, a company will submit a copy of its procedures for performing safety tests.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71.14(4)</w:t>
      </w:r>
      <w:r>
        <w:rPr>
          <w:rFonts w:ascii="Times New Roman" w:hAnsi="Times New Roman"/>
          <w:b w:val="false"/>
          <w:i w:val="false"/>
          <w:color w:val="000000"/>
          <w:sz w:val="22"/>
        </w:rPr>
        <w:t> </w:t>
      </w:r>
      <w:r>
        <w:rPr>
          <w:rFonts w:ascii="Times New Roman" w:hAnsi="Times New Roman"/>
          <w:b w:val="false"/>
          <w:i w:val="false"/>
          <w:color w:val="000000"/>
          <w:sz w:val="22"/>
        </w:rPr>
        <w:t>Every five years or within six months after the board adopts a new edition of ASME, whichever is earlier, authorized companies will submit revised safety test procedures for renewal of authorization.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71.14(5)</w:t>
      </w:r>
      <w:r>
        <w:rPr>
          <w:rFonts w:ascii="Times New Roman" w:hAnsi="Times New Roman"/>
          <w:b w:val="false"/>
          <w:i w:val="false"/>
          <w:color w:val="000000"/>
          <w:sz w:val="22"/>
        </w:rPr>
        <w:t> </w:t>
      </w:r>
      <w:r>
        <w:rPr>
          <w:rFonts w:ascii="Times New Roman" w:hAnsi="Times New Roman"/>
          <w:b w:val="false"/>
          <w:i w:val="false"/>
          <w:color w:val="000000"/>
          <w:sz w:val="22"/>
        </w:rPr>
        <w:t>Investigations. Investigations will take place at the times and in the places the director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71.14(6)</w:t>
      </w:r>
      <w:r>
        <w:rPr>
          <w:rFonts w:ascii="Times New Roman" w:hAnsi="Times New Roman"/>
          <w:b w:val="false"/>
          <w:i w:val="false"/>
          <w:color w:val="000000"/>
          <w:sz w:val="22"/>
        </w:rPr>
        <w:t> </w:t>
      </w:r>
      <w:r>
        <w:rPr>
          <w:rFonts w:ascii="Times New Roman" w:hAnsi="Times New Roman"/>
          <w:b w:val="false"/>
          <w:i w:val="false"/>
          <w:color w:val="000000"/>
          <w:sz w:val="22"/>
        </w:rPr>
        <w:t>Suspension. If the director determines that a falsified safety test report was submitted by an elevator mechanic, the director will suspend the authorization of the elevator mechanic’s employer for six months. During the suspension, all safety tests performed by any employee of the authorized company will be witnessed by a state inspector or a CEI who is not employed by the suspended authorized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71.14(7)</w:t>
      </w:r>
      <w:r>
        <w:rPr>
          <w:rFonts w:ascii="Times New Roman" w:hAnsi="Times New Roman"/>
          <w:b w:val="false"/>
          <w:i w:val="false"/>
          <w:color w:val="000000"/>
          <w:sz w:val="22"/>
        </w:rPr>
        <w:t> </w:t>
      </w:r>
      <w:r>
        <w:rPr>
          <w:rFonts w:ascii="Times New Roman" w:hAnsi="Times New Roman"/>
          <w:b w:val="false"/>
          <w:i w:val="false"/>
          <w:color w:val="000000"/>
          <w:sz w:val="22"/>
        </w:rPr>
        <w:t>Suspension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notify an authorized company of its suspension by certified mail or by other service as permitted by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authorized company will have 20 days to file a written notice of contest with the director. If the authorized company does not file a written notice of contest in a timely manner, the suspension will automatically be effective. If the authorized company does file a written notice of contest in a timely manner, department hearing procedures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finds, pursuant to Iowa Code section </w:t>
      </w:r>
      <w:hyperlink r:id="rId18">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that public health, safety or welfare imperatively requires emergency action, the authorization may be summarily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875—71.15</w:t>
      </w:r>
      <w:r>
        <w:rPr>
          <w:rFonts w:ascii="Times New Roman" w:hAnsi="Times New Roman"/>
          <w:b/>
          <w:i w:val="false"/>
          <w:color w:val="000000"/>
          <w:sz w:val="22"/>
        </w:rPr>
        <w:t xml:space="preserve">(89A) </w:t>
      </w:r>
      <w:r>
        <w:rPr>
          <w:rFonts w:ascii="Times New Roman" w:hAnsi="Times New Roman"/>
          <w:b/>
          <w:i w:val="false"/>
          <w:color w:val="000000"/>
          <w:sz w:val="22"/>
        </w:rPr>
        <w:t xml:space="preserve">Fees. </w:t>
      </w:r>
      <w:r>
        <w:rPr>
          <w:rFonts w:ascii="Times New Roman" w:hAnsi="Times New Roman"/>
          <w:b w:val="false"/>
          <w:i w:val="false"/>
          <w:color w:val="000000"/>
          <w:sz w:val="22"/>
        </w:rPr>
        <w:t>Except as noted in this rule, all fees are nonrefundable and due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The annual operating permit fee is $75 per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r>
        <w:rPr>
          <w:rFonts w:ascii="Times New Roman" w:hAnsi="Times New Roman"/>
          <w:b w:val="false"/>
          <w:i w:val="false"/>
          <w:color w:val="000000"/>
          <w:sz w:val="22"/>
        </w:rPr>
        <w:t>Fees shall be remitted to the department within 30 days of the date of inspection. The fees for periodic inspections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elevator: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Wind tower lift: $225.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Hand-powered elevator: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Television tower elevator: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Handicapped restricted use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Escalator: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Dumbwaiter: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Wheelchair lift: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Moving walk: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71.15(3)</w:t>
      </w:r>
      <w:r>
        <w:rPr>
          <w:rFonts w:ascii="Times New Roman" w:hAnsi="Times New Roman"/>
          <w:b w:val="false"/>
          <w:i w:val="false"/>
          <w:color w:val="000000"/>
          <w:sz w:val="22"/>
        </w:rPr>
        <w:t> </w:t>
      </w:r>
      <w:r>
        <w:rPr>
          <w:rFonts w:ascii="Times New Roman" w:hAnsi="Times New Roman"/>
          <w:b w:val="false"/>
          <w:i/>
          <w:color w:val="000000"/>
          <w:sz w:val="22"/>
        </w:rPr>
        <w:t xml:space="preserve">Installation permits. </w:t>
      </w:r>
      <w:r>
        <w:rPr>
          <w:rFonts w:ascii="Times New Roman" w:hAnsi="Times New Roman"/>
          <w:b w:val="false"/>
          <w:i w:val="false"/>
          <w:color w:val="000000"/>
          <w:sz w:val="22"/>
        </w:rPr>
        <w:t>The fees in this subrule cover the initial print review, installation permit, initial inspection and first-year operating permit. Each print revision submitted to the department is subject to an additional fee of $100. The fees for new installations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Wind tower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lift elevators: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elevators: $750.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elevators: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Escalator: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Dumbwaiter: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Wheelchair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CPH: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Moving walk: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71.15(4)</w:t>
      </w:r>
      <w:r>
        <w:rPr>
          <w:rFonts w:ascii="Times New Roman" w:hAnsi="Times New Roman"/>
          <w:b w:val="false"/>
          <w:i w:val="false"/>
          <w:color w:val="000000"/>
          <w:sz w:val="22"/>
        </w:rPr>
        <w:t> </w:t>
      </w:r>
      <w:r>
        <w:rPr>
          <w:rFonts w:ascii="Times New Roman" w:hAnsi="Times New Roman"/>
          <w:b w:val="false"/>
          <w:i/>
          <w:color w:val="000000"/>
          <w:sz w:val="22"/>
        </w:rPr>
        <w:t xml:space="preserve">Alteration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set forth below, the fee for any elevator alteration permit is $500 and covers the initial print review, alteration permit, and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each CPH extension is $150. The total fee required for all planned CPH extensions shall be submitted with the installation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an alteration permit is $500 if the only alteration is the addition or replacement of an escalator skirt brush.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an initial print review, elevator alteration permit, and initial inspection is $250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only changes covered by the elevator alteration permit application are required by ASME A17.3 (2011) as adopted in 875—Chapters </w:t>
      </w:r>
      <w:hyperlink r:id="rId19">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elevator alteration permit application is submitted before or no later than 120 days after the issuance of an inspection report describing ASME A17.3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other conveyances, the fees for new installations shall apply to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71.15(5)</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The construction permit fee is $200 per conveyance. This fee includes the fee for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71.15(6)</w:t>
      </w:r>
      <w:r>
        <w:rPr>
          <w:rFonts w:ascii="Times New Roman" w:hAnsi="Times New Roman"/>
          <w:b w:val="false"/>
          <w:i w:val="false"/>
          <w:color w:val="000000"/>
          <w:sz w:val="22"/>
        </w:rPr>
        <w:t> </w:t>
      </w:r>
      <w:r>
        <w:rPr>
          <w:rFonts w:ascii="Times New Roman" w:hAnsi="Times New Roman"/>
          <w:b w:val="false"/>
          <w:i/>
          <w:color w:val="000000"/>
          <w:sz w:val="22"/>
        </w:rPr>
        <w:t xml:space="preserve">Controller upgrade permits. </w:t>
      </w:r>
      <w:r>
        <w:rPr>
          <w:rFonts w:ascii="Times New Roman" w:hAnsi="Times New Roman"/>
          <w:b w:val="false"/>
          <w:i w:val="false"/>
          <w:color w:val="000000"/>
          <w:sz w:val="22"/>
        </w:rPr>
        <w:t>The controller upgrade permit fee is $250. This fee includes one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71.15(7)</w:t>
      </w:r>
      <w:r>
        <w:rPr>
          <w:rFonts w:ascii="Times New Roman" w:hAnsi="Times New Roman"/>
          <w:b w:val="false"/>
          <w:i w:val="false"/>
          <w:color w:val="000000"/>
          <w:sz w:val="22"/>
        </w:rPr>
        <w:t> </w:t>
      </w:r>
      <w:r>
        <w:rPr>
          <w:rFonts w:ascii="Times New Roman" w:hAnsi="Times New Roman"/>
          <w:b w:val="false"/>
          <w:i/>
          <w:color w:val="000000"/>
          <w:sz w:val="22"/>
        </w:rPr>
        <w:t xml:space="preserve">Consultative inspections </w:t>
      </w:r>
      <w:r>
        <w:rPr>
          <w:rFonts w:ascii="Times New Roman" w:hAnsi="Times New Roman"/>
          <w:b w:val="false"/>
          <w:i w:val="false"/>
          <w:color w:val="000000"/>
          <w:sz w:val="22"/>
        </w:rPr>
        <w:t>Consultative inspections may be performed at the discretion of the director for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71.15(8)</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w:t>
      </w:r>
      <w:r>
        <w:rPr>
          <w:rFonts w:ascii="Times New Roman" w:hAnsi="Times New Roman"/>
          <w:b w:val="false"/>
          <w:i w:val="false"/>
          <w:color w:val="000000"/>
          <w:sz w:val="22"/>
        </w:rPr>
        <w:t>The special inspector commission fee is $60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71.15(9)</w:t>
      </w:r>
      <w:r>
        <w:rPr>
          <w:rFonts w:ascii="Times New Roman" w:hAnsi="Times New Roman"/>
          <w:b w:val="false"/>
          <w:i w:val="false"/>
          <w:color w:val="000000"/>
          <w:sz w:val="22"/>
        </w:rPr>
        <w:t> </w:t>
      </w:r>
      <w:r>
        <w:rPr>
          <w:rFonts w:ascii="Times New Roman" w:hAnsi="Times New Roman"/>
          <w:b w:val="false"/>
          <w:i/>
          <w:color w:val="000000"/>
          <w:sz w:val="22"/>
        </w:rPr>
        <w:t xml:space="preserve">Witness of safety tests. </w:t>
      </w:r>
      <w:r>
        <w:rPr>
          <w:rFonts w:ascii="Times New Roman" w:hAnsi="Times New Roman"/>
          <w:b w:val="false"/>
          <w:i w:val="false"/>
          <w:color w:val="000000"/>
          <w:sz w:val="22"/>
        </w:rPr>
        <w:t>The fee for department employees to witness safety tests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71.15(10)</w:t>
      </w:r>
      <w:r>
        <w:rPr>
          <w:rFonts w:ascii="Times New Roman" w:hAnsi="Times New Roman"/>
          <w:b w:val="false"/>
          <w:i w:val="false"/>
          <w:color w:val="000000"/>
          <w:sz w:val="22"/>
        </w:rPr>
        <w:t> </w:t>
      </w:r>
      <w:r>
        <w:rPr>
          <w:rFonts w:ascii="Times New Roman" w:hAnsi="Times New Roman"/>
          <w:b w:val="false"/>
          <w:i/>
          <w:color w:val="000000"/>
          <w:sz w:val="22"/>
        </w:rPr>
        <w:t xml:space="preserve">Permit extensions. </w:t>
      </w:r>
      <w:r>
        <w:rPr>
          <w:rFonts w:ascii="Times New Roman" w:hAnsi="Times New Roman"/>
          <w:b w:val="false"/>
          <w:i w:val="false"/>
          <w:color w:val="000000"/>
          <w:sz w:val="22"/>
        </w:rPr>
        <w:t>The fee to extend an installation permit, alteration permit, or construction permit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71.15(11)</w:t>
      </w:r>
      <w:r>
        <w:rPr>
          <w:rFonts w:ascii="Times New Roman" w:hAnsi="Times New Roman"/>
          <w:b w:val="false"/>
          <w:i w:val="false"/>
          <w:color w:val="000000"/>
          <w:sz w:val="22"/>
        </w:rPr>
        <w:t> </w:t>
      </w:r>
      <w:r>
        <w:rPr>
          <w:rFonts w:ascii="Times New Roman" w:hAnsi="Times New Roman"/>
          <w:b w:val="false"/>
          <w:i/>
          <w:color w:val="000000"/>
          <w:sz w:val="22"/>
        </w:rPr>
        <w:t xml:space="preserve">Inspections outside of normal business hours. </w:t>
      </w:r>
      <w:r>
        <w:rPr>
          <w:rFonts w:ascii="Times New Roman" w:hAnsi="Times New Roman"/>
          <w:b w:val="false"/>
          <w:i w:val="false"/>
          <w:color w:val="000000"/>
          <w:sz w:val="22"/>
        </w:rPr>
        <w:t>Inspections outside the normal business hours may be performed at the discretion of the director. If the owner or contractor requests an inspection outside of normal business hours and the director agrees to the schedule, an additional fee will be charged.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71.15(12)</w:t>
      </w:r>
      <w:r>
        <w:rPr>
          <w:rFonts w:ascii="Times New Roman" w:hAnsi="Times New Roman"/>
          <w:b w:val="false"/>
          <w:i w:val="false"/>
          <w:color w:val="000000"/>
          <w:sz w:val="22"/>
        </w:rPr>
        <w:t> </w:t>
      </w:r>
      <w:r>
        <w:rPr>
          <w:rFonts w:ascii="Times New Roman" w:hAnsi="Times New Roman"/>
          <w:b w:val="false"/>
          <w:i/>
          <w:color w:val="000000"/>
          <w:sz w:val="22"/>
        </w:rPr>
        <w:t xml:space="preserve">Reinspections. </w:t>
      </w:r>
      <w:r>
        <w:rPr>
          <w:rFonts w:ascii="Times New Roman" w:hAnsi="Times New Roman"/>
          <w:b w:val="false"/>
          <w:i w:val="false"/>
          <w:color w:val="000000"/>
          <w:sz w:val="22"/>
        </w:rPr>
        <w:t>The fees for reinspections are $400 for television tower elevators and CPHs, $200 for wind tower lifts, and $300 for all other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71.15(13)</w:t>
      </w:r>
      <w:r>
        <w:rPr>
          <w:rFonts w:ascii="Times New Roman" w:hAnsi="Times New Roman"/>
          <w:b w:val="false"/>
          <w:i w:val="false"/>
          <w:color w:val="000000"/>
          <w:sz w:val="22"/>
        </w:rPr>
        <w:t> </w:t>
      </w:r>
      <w:r>
        <w:rPr>
          <w:rFonts w:ascii="Times New Roman" w:hAnsi="Times New Roman"/>
          <w:b w:val="false"/>
          <w:i/>
          <w:color w:val="000000"/>
          <w:sz w:val="22"/>
        </w:rPr>
        <w:t xml:space="preserve">Inspection for temporary removal from service. </w:t>
      </w:r>
      <w:r>
        <w:rPr>
          <w:rFonts w:ascii="Times New Roman" w:hAnsi="Times New Roman"/>
          <w:b w:val="false"/>
          <w:i w:val="false"/>
          <w:color w:val="000000"/>
          <w:sz w:val="22"/>
        </w:rPr>
        <w:t>The inspection fee for temporary removal from service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71.15(14)</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state inspector combines in one visit two different types of inspection on a single conveyance, the director may waive the lesser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alteration permit will be waived by the director if the only alterations covered by the permit application are required by 875—Chapter </w:t>
      </w:r>
      <w:hyperlink r:id="rId21">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373</w:t>
      </w:r>
      <w:r>
        <w:rPr>
          <w:rFonts w:ascii="Times New Roman" w:hAnsi="Times New Roman"/>
          <w:b w:val="false"/>
          <w:i w:val="false"/>
          <w:color w:val="000000"/>
          <w:sz w:val="22"/>
        </w:rPr>
        <w:t>. The fee waiver set forth in this paragraph does not eliminate the requirement to pay for an acceptance inspection or for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875—71.16</w:t>
      </w:r>
      <w:r>
        <w:rPr>
          <w:rFonts w:ascii="Times New Roman" w:hAnsi="Times New Roman"/>
          <w:b/>
          <w:i w:val="false"/>
          <w:color w:val="000000"/>
          <w:sz w:val="22"/>
        </w:rPr>
        <w:t xml:space="preserve">(89A)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Standards, codes, and publications adopted by reference in these rules are available for review in the department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875—71.17</w:t>
      </w:r>
      <w:r>
        <w:rPr>
          <w:rFonts w:ascii="Times New Roman" w:hAnsi="Times New Roman"/>
          <w:b/>
          <w:i w:val="false"/>
          <w:color w:val="000000"/>
          <w:sz w:val="22"/>
        </w:rPr>
        <w:t xml:space="preserve">(89A) </w:t>
      </w:r>
      <w:r>
        <w:rPr>
          <w:rFonts w:ascii="Times New Roman" w:hAnsi="Times New Roman"/>
          <w:b/>
          <w:i w:val="false"/>
          <w:color w:val="000000"/>
          <w:sz w:val="22"/>
        </w:rPr>
        <w:t xml:space="preserve">Accidents and injuries—requirements.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conveyance in the event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requires the service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causes disability exceeding one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that will require more than one hour of mechanic’s time (excluding travel) to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will promptly notify the director if one of the events listed in subrule </w:t>
      </w:r>
      <w:r>
        <w:rPr>
          <w:rFonts w:ascii="Times New Roman" w:hAnsi="Times New Roman"/>
          <w:b w:val="false"/>
          <w:i w:val="false"/>
          <w:color w:val="000000"/>
          <w:sz w:val="22"/>
        </w:rPr>
        <w:t>71.19(1)</w:t>
      </w:r>
      <w:r>
        <w:rPr>
          <w:rFonts w:ascii="Times New Roman" w:hAnsi="Times New Roman"/>
          <w:b w:val="false"/>
          <w:i w:val="false"/>
          <w:color w:val="000000"/>
          <w:sz w:val="22"/>
        </w:rPr>
        <w:t xml:space="preserve"> occurs. Notification will be in writing and will include the state identification number, owner, and description of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71.17(3)</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conveyance or operating mechanism from the premises is forbidden until permission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71.17(4)</w:t>
      </w:r>
      <w:r>
        <w:rPr>
          <w:rFonts w:ascii="Times New Roman" w:hAnsi="Times New Roman"/>
          <w:b w:val="false"/>
          <w:i w:val="false"/>
          <w:color w:val="000000"/>
          <w:sz w:val="22"/>
        </w:rPr>
        <w:t> </w:t>
      </w:r>
      <w:r>
        <w:rPr>
          <w:rFonts w:ascii="Times New Roman" w:hAnsi="Times New Roman"/>
          <w:b w:val="false"/>
          <w:i w:val="false"/>
          <w:color w:val="000000"/>
          <w:sz w:val="22"/>
        </w:rPr>
        <w:t>When an accident or injury involves the failure or destruction of any part of the conveyance or its operating mechanism, the use of the conveyance is forbidden until it has been inspected and approved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875—71.18</w:t>
      </w:r>
      <w:r>
        <w:rPr>
          <w:rFonts w:ascii="Times New Roman" w:hAnsi="Times New Roman"/>
          <w:b/>
          <w:i w:val="false"/>
          <w:color w:val="000000"/>
          <w:sz w:val="22"/>
        </w:rPr>
        <w:t xml:space="preserve">(89A) </w:t>
      </w:r>
      <w:r>
        <w:rPr>
          <w:rFonts w:ascii="Times New Roman" w:hAnsi="Times New Roman"/>
          <w:b/>
          <w:i w:val="false"/>
          <w:color w:val="000000"/>
          <w:sz w:val="22"/>
        </w:rPr>
        <w:t xml:space="preserve">Temporary removal from service. </w:t>
      </w:r>
      <w:r>
        <w:rPr>
          <w:rFonts w:ascii="Times New Roman" w:hAnsi="Times New Roman"/>
          <w:b w:val="false"/>
          <w:i w:val="false"/>
          <w:color w:val="000000"/>
          <w:sz w:val="22"/>
        </w:rPr>
        <w:t>The requirements for an annual inspection, annual inspection fee, safety test, operating permit, and operating permit fee will be temporarily suspended for up to three years for an elevator in an unoccupied building if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val="false"/>
          <w:color w:val="000000"/>
          <w:sz w:val="22"/>
        </w:rPr>
        <w:t>All elevator doors in unoccupied buildings shall be closed and locked. Hydraulic elevators are parked at the bottom of the hoistway. Traction elevators are parked at the top of the hoistway.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val="false"/>
          <w:color w:val="000000"/>
          <w:sz w:val="22"/>
        </w:rPr>
        <w:t>Upon request by the owner of an elevator in an unoccupied building, the director will send an inspector who is a state employee to confirm that the building is unoccupied and that the car and doors of the elevator have been properly secured. If the conditions set forth in subrule “1” are met, the inspector shall apply to the elevator a seal and a red tag marked with the words “Do Not Operate.”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71.18(3)</w:t>
      </w:r>
      <w:r>
        <w:rPr>
          <w:rFonts w:ascii="Times New Roman" w:hAnsi="Times New Roman"/>
          <w:b w:val="false"/>
          <w:i w:val="false"/>
          <w:color w:val="000000"/>
          <w:sz w:val="22"/>
        </w:rPr>
        <w:t> </w:t>
      </w:r>
      <w:r>
        <w:rPr>
          <w:rFonts w:ascii="Times New Roman" w:hAnsi="Times New Roman"/>
          <w:b w:val="false"/>
          <w:i w:val="false"/>
          <w:color w:val="000000"/>
          <w:sz w:val="22"/>
        </w:rPr>
        <w:t>One year after the inspection, the owner must file with the director written confirmation that the status of the elevator and building have not changed, and the owner must file again two years after the inspection. Failure to comply with this requirement will result in termination of the temporary suspension of the requirements for safety tests, inspections, and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71.18(4)</w:t>
      </w:r>
      <w:r>
        <w:rPr>
          <w:rFonts w:ascii="Times New Roman" w:hAnsi="Times New Roman"/>
          <w:b w:val="false"/>
          <w:i w:val="false"/>
          <w:color w:val="000000"/>
          <w:sz w:val="22"/>
        </w:rPr>
        <w:t> </w:t>
      </w:r>
      <w:r>
        <w:rPr>
          <w:rFonts w:ascii="Times New Roman" w:hAnsi="Times New Roman"/>
          <w:b w:val="false"/>
          <w:i w:val="false"/>
          <w:color w:val="000000"/>
          <w:sz w:val="22"/>
        </w:rPr>
        <w:t>Prior to returning the elevator to service, and upon request of the owner, the director may allow the elevator to be operated for 30 days for the sole purpose of performing safety tests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71.18(5)</w:t>
      </w:r>
      <w:r>
        <w:rPr>
          <w:rFonts w:ascii="Times New Roman" w:hAnsi="Times New Roman"/>
          <w:b w:val="false"/>
          <w:i w:val="false"/>
          <w:color w:val="000000"/>
          <w:sz w:val="22"/>
        </w:rPr>
        <w:t> </w:t>
      </w:r>
      <w:r>
        <w:rPr>
          <w:rFonts w:ascii="Times New Roman" w:hAnsi="Times New Roman"/>
          <w:b w:val="false"/>
          <w:i w:val="false"/>
          <w:color w:val="000000"/>
          <w:sz w:val="22"/>
        </w:rPr>
        <w:t>The owner must notify the director at least two weeks before placing an elevator back into service and must arrange for an inspector who is a state employee to witness a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71.18(6)</w:t>
      </w:r>
      <w:r>
        <w:rPr>
          <w:rFonts w:ascii="Times New Roman" w:hAnsi="Times New Roman"/>
          <w:b w:val="false"/>
          <w:i w:val="false"/>
          <w:color w:val="000000"/>
          <w:sz w:val="22"/>
        </w:rPr>
        <w:t> </w:t>
      </w:r>
      <w:r>
        <w:rPr>
          <w:rFonts w:ascii="Times New Roman" w:hAnsi="Times New Roman"/>
          <w:b w:val="false"/>
          <w:i w:val="false"/>
          <w:color w:val="000000"/>
          <w:sz w:val="22"/>
        </w:rPr>
        <w:t>If at the end of three years the building is still unoccupied, suspension of the requirements for safety tests, inspections, and operating permits end without possibility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875—71.19</w:t>
      </w:r>
      <w:r>
        <w:rPr>
          <w:rFonts w:ascii="Times New Roman" w:hAnsi="Times New Roman"/>
          <w:b/>
          <w:i w:val="false"/>
          <w:color w:val="000000"/>
          <w:sz w:val="22"/>
        </w:rPr>
        <w:t xml:space="preserve">(89A) </w:t>
      </w:r>
      <w:r>
        <w:rPr>
          <w:rFonts w:ascii="Times New Roman" w:hAnsi="Times New Roman"/>
          <w:b/>
          <w:i w:val="false"/>
          <w:color w:val="000000"/>
          <w:sz w:val="22"/>
        </w:rPr>
        <w:t xml:space="preserve">Other regulations affecting elevators. </w:t>
      </w:r>
      <w:r>
        <w:rPr>
          <w:rFonts w:ascii="Times New Roman" w:hAnsi="Times New Roman"/>
          <w:b w:val="false"/>
          <w:i w:val="false"/>
          <w:color w:val="000000"/>
          <w:sz w:val="22"/>
        </w:rPr>
        <w:t xml:space="preserve">No rule in </w:t>
      </w:r>
      <w:hyperlink r:id="rId22">
        <w:r>
          <w:rPr>
            <w:rStyle w:val="Hyperlink"/>
            <w:rFonts w:ascii="Times New Roman" w:hAnsi="Times New Roman"/>
            <w:b w:val="false"/>
            <w:i w:val="false"/>
            <w:color w:val="000000"/>
            <w:sz w:val="22"/>
          </w:rPr>
          <w:t>875—Chapters 71 through 73</w:t>
        </w:r>
      </w:hyperlink>
      <w:r>
        <w:rPr>
          <w:rFonts w:ascii="Times New Roman" w:hAnsi="Times New Roman"/>
          <w:b w:val="false"/>
          <w:i w:val="false"/>
          <w:color w:val="000000"/>
          <w:sz w:val="22"/>
        </w:rPr>
        <w:t xml:space="preserve"> shall be interpreted as creating a waiver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r>
        <w:br/>
      </w:r>
      <w:r>
        <w:rPr>
          <w:rFonts w:ascii="Times New Roman" w:hAnsi="Times New Roman"/>
          <w:b w:val="false"/>
          <w:i w:val="false"/>
          <w:color w:val="000000"/>
          <w:sz w:val="21"/>
        </w:rPr>
        <w:t>[Filed ARC 7841B</w:t>
      </w:r>
      <w:r>
        <w:rPr>
          <w:rFonts w:ascii="Times New Roman" w:hAnsi="Times New Roman"/>
          <w:b w:val="false"/>
          <w:i w:val="false"/>
          <w:color w:val="000000"/>
          <w:sz w:val="21"/>
        </w:rPr>
        <w:t xml:space="preserve"> (Notice ARC 7697B,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9221B</w:t>
      </w:r>
      <w:r>
        <w:rPr>
          <w:rFonts w:ascii="Times New Roman" w:hAnsi="Times New Roman"/>
          <w:b w:val="false"/>
          <w:i w:val="false"/>
          <w:color w:val="000000"/>
          <w:sz w:val="21"/>
        </w:rPr>
        <w:t xml:space="preserve"> (Notice ARC 8996B,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0318C</w:t>
      </w:r>
      <w:r>
        <w:rPr>
          <w:rFonts w:ascii="Times New Roman" w:hAnsi="Times New Roman"/>
          <w:b w:val="false"/>
          <w:i w:val="false"/>
          <w:color w:val="000000"/>
          <w:sz w:val="21"/>
        </w:rPr>
        <w:t xml:space="preserve"> (Notice ARC 0171C, IAB 6/13/12)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0574C</w:t>
      </w:r>
      <w:r>
        <w:rPr>
          <w:rFonts w:ascii="Times New Roman" w:hAnsi="Times New Roman"/>
          <w:b w:val="false"/>
          <w:i w:val="false"/>
          <w:color w:val="000000"/>
          <w:sz w:val="21"/>
        </w:rPr>
        <w:t xml:space="preserve"> (Notice ARC 0411C, IAB 10/31/12)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0685C</w:t>
      </w:r>
      <w:r>
        <w:rPr>
          <w:rFonts w:ascii="Times New Roman" w:hAnsi="Times New Roman"/>
          <w:b w:val="false"/>
          <w:i w:val="false"/>
          <w:color w:val="000000"/>
          <w:sz w:val="21"/>
        </w:rPr>
        <w:t xml:space="preserve"> (Notice ARC 0597C, IAB 2/6/13)</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1159C</w:t>
      </w:r>
      <w:r>
        <w:rPr>
          <w:rFonts w:ascii="Times New Roman" w:hAnsi="Times New Roman"/>
          <w:b w:val="false"/>
          <w:i w:val="false"/>
          <w:color w:val="000000"/>
          <w:sz w:val="21"/>
        </w:rPr>
        <w:t xml:space="preserve"> (Notice ARC 0951C, IAB 8/21/13)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1158C</w:t>
      </w:r>
      <w:r>
        <w:rPr>
          <w:rFonts w:ascii="Times New Roman" w:hAnsi="Times New Roman"/>
          <w:b w:val="false"/>
          <w:i w:val="false"/>
          <w:color w:val="000000"/>
          <w:sz w:val="21"/>
        </w:rPr>
        <w:t xml:space="preserve"> (Notice ARC 1009C,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2333C</w:t>
      </w:r>
      <w:r>
        <w:rPr>
          <w:rFonts w:ascii="Times New Roman" w:hAnsi="Times New Roman"/>
          <w:b w:val="false"/>
          <w:i w:val="false"/>
          <w:color w:val="000000"/>
          <w:sz w:val="21"/>
        </w:rPr>
        <w:t xml:space="preserve"> (Notice ARC 2163C, IAB 9/30/15)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4376C</w:t>
      </w:r>
      <w:r>
        <w:rPr>
          <w:rFonts w:ascii="Times New Roman" w:hAnsi="Times New Roman"/>
          <w:b w:val="false"/>
          <w:i w:val="false"/>
          <w:color w:val="000000"/>
          <w:sz w:val="21"/>
        </w:rPr>
        <w:t xml:space="preserve"> (Notice ARC 4237C,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8773C</w:t>
      </w:r>
      <w:r>
        <w:rPr>
          <w:rFonts w:ascii="Times New Roman" w:hAnsi="Times New Roman"/>
          <w:b w:val="false"/>
          <w:i w:val="false"/>
          <w:color w:val="000000"/>
          <w:sz w:val="21"/>
        </w:rPr>
        <w:t xml:space="preserve"> (Notice ARC 8322C,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71.pdf" Type="http://schemas.openxmlformats.org/officeDocument/2006/relationships/hyperlink" Id="rId5"/>
    <Relationship TargetMode="External" Target="https://www.legis.iowa.gov/docs/iac/chapter/875.72.pdf" Type="http://schemas.openxmlformats.org/officeDocument/2006/relationships/hyperlink" Id="rId6"/>
    <Relationship TargetMode="External" Target="https://www.legis.iowa.gov/docs/iac/chapter/875.73.pdf" Type="http://schemas.openxmlformats.org/officeDocument/2006/relationships/hyperlink" Id="rId7"/>
    <Relationship TargetMode="External" Target="https://www.legis.iowa.gov/docs/ico/chapter/89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89A.11.pdf" Type="http://schemas.openxmlformats.org/officeDocument/2006/relationships/hyperlink" Id="rId10"/>
    <Relationship TargetMode="External" Target="https://www.legis.iowa.gov/docs/ico/chapter/89A.12.pdf" Type="http://schemas.openxmlformats.org/officeDocument/2006/relationships/hyperlink" Id="rId11"/>
    <Relationship TargetMode="External" Target="https://www.legis.iowa.gov/docs/ico/chapter/89A.10.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72D.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18A.pdf" Type="http://schemas.openxmlformats.org/officeDocument/2006/relationships/hyperlink" Id="rId18"/>
    <Relationship TargetMode="External" Target="https://www.legis.iowa.gov/docs/iac/chapter/875.372.pdf" Type="http://schemas.openxmlformats.org/officeDocument/2006/relationships/hyperlink" Id="rId19"/>
    <Relationship TargetMode="External" Target="https://www.legis.iowa.gov/docs/iac/chapter/875.373.pdf" Type="http://schemas.openxmlformats.org/officeDocument/2006/relationships/hyperlink" Id="rId20"/>
    <Relationship TargetMode="External" Target="https://www.legis.iowa.gov/docs/iac/chapter/875.372.pdf" Type="http://schemas.openxmlformats.org/officeDocument/2006/relationships/hyperlink" Id="rId21"/>
    <Relationship TargetMode="External" Target="https://www.legis.iowa.gov/docs/iac/chapter/875.71-73.pdf" Type="http://schemas.openxmlformats.org/officeDocument/2006/relationships/hyperlink" Id="rId22"/>
    <Relationship TargetMode="External" Target="https://www.legis.iowa.gov/docs/ico/chapter/89A.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72D.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