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ELEVATORS, ESCALATORS, AND RELATED EQUIPMENT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ELEVATOR SAFETY BOARD ADMINISTRATIVE AND REGULATORY AUTHORITY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875—65.1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contained in this rule apply to 875—Chapters 65 through 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elevator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 elevator, construction personnel hoist, dumbwaiter, escalator, moving walk, lift or inclined or vertical wheelchair lift subject to regulation under Iowa Code chapter </w:t>
      </w:r>
      <w:hyperlink r:id="rId5">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includes hoistways, rails, guides, and all other related mechanical and electrical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875—65.2</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health, safety and welfare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inspection reports that relate to the installation, alteration, operation, and maintenance of conveyances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actions by the director to deny, suspend or revoke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875—65.3</w:t>
      </w:r>
      <w:r>
        <w:rPr>
          <w:rFonts w:ascii="Times New Roman" w:hAnsi="Times New Roman"/>
          <w:b/>
          <w:i w:val="false"/>
          <w:color w:val="000000"/>
          <w:sz w:val="22"/>
        </w:rPr>
        <w:t xml:space="preserve">(21,89A) </w:t>
      </w:r>
      <w:r>
        <w:rPr>
          <w:rFonts w:ascii="Times New Roman" w:hAnsi="Times New Roman"/>
          <w:b/>
          <w:i w:val="false"/>
          <w:color w:val="000000"/>
          <w:sz w:val="22"/>
        </w:rPr>
        <w:t xml:space="preserve">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director nor the director’s designee may serve as chairperson. The chairperson presides at meetings, appoints members and chairpersons of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875—65.4</w:t>
      </w:r>
      <w:r>
        <w:rPr>
          <w:rFonts w:ascii="Times New Roman" w:hAnsi="Times New Roman"/>
          <w:b/>
          <w:i w:val="false"/>
          <w:color w:val="000000"/>
          <w:sz w:val="22"/>
        </w:rPr>
        <w:t xml:space="preserve">(21,89A)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prepares the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875—65.5</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8771C</w:t>
      </w:r>
      <w:r>
        <w:rPr>
          <w:rFonts w:ascii="Times New Roman" w:hAnsi="Times New Roman"/>
          <w:b w:val="false"/>
          <w:i w:val="false"/>
          <w:color w:val="000000"/>
          <w:sz w:val="21"/>
        </w:rPr>
        <w:t xml:space="preserve"> (Notice ARC 8319C,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A.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89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