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RULES OF PRACTICE FOR OSHA VARIANCES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374—Ch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875—5.1</w:t>
      </w:r>
      <w:r>
        <w:rPr>
          <w:rFonts w:ascii="Times New Roman" w:hAnsi="Times New Roman"/>
          <w:b/>
          <w:i w:val="false"/>
          <w:color w:val="000000"/>
          <w:sz w:val="22"/>
        </w:rPr>
        <w:t xml:space="preserve">(17A,88)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contains rules of practice for administrative proceedings to grant variances and other relief under Iowa Code sections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w:t>
      </w:r>
      <w:r>
        <w:rPr>
          <w:rFonts w:ascii="Times New Roman" w:hAnsi="Times New Roman"/>
          <w:b/>
          <w:i w:val="false"/>
          <w:color w:val="000000"/>
          <w:sz w:val="22"/>
        </w:rPr>
        <w:t xml:space="preserve">(17A,88)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are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employee” </w:t>
      </w:r>
      <w:r>
        <w:rPr>
          <w:rFonts w:ascii="Times New Roman" w:hAnsi="Times New Roman"/>
          <w:b w:val="false"/>
          <w:i w:val="false"/>
          <w:color w:val="000000"/>
          <w:sz w:val="22"/>
        </w:rPr>
        <w:t>means an employee who would be affected by the grant or denial of a variance, or any one of the employee’s authorized representatives, such as the collective bargaining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labor commissioner of the department of inspections, appeals, and licensing,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examiner” </w:t>
      </w:r>
      <w:r>
        <w:rPr>
          <w:rFonts w:ascii="Times New Roman" w:hAnsi="Times New Roman"/>
          <w:b w:val="false"/>
          <w:i w:val="false"/>
          <w:color w:val="000000"/>
          <w:sz w:val="22"/>
        </w:rPr>
        <w:t>means the commissioner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a person admitted to participate in a hearing conducted in accordance with rules </w:t>
      </w:r>
      <w:hyperlink r:id="rId10">
        <w:r>
          <w:rPr>
            <w:rStyle w:val="Hyperlink"/>
            <w:rFonts w:ascii="Times New Roman" w:hAnsi="Times New Roman"/>
            <w:b w:val="false"/>
            <w:i w:val="false"/>
            <w:color w:val="000000"/>
            <w:sz w:val="22"/>
          </w:rPr>
          <w:t>875—5.14</w:t>
        </w:r>
      </w:hyperlink>
      <w:r>
        <w:rPr>
          <w:rFonts w:ascii="Times New Roman" w:hAnsi="Times New Roman"/>
          <w:b w:val="false"/>
          <w:i w:val="false"/>
          <w:color w:val="000000"/>
          <w:sz w:val="22"/>
        </w:rPr>
        <w:t xml:space="preserve">(88) through </w:t>
      </w:r>
      <w:hyperlink r:id="rId11">
        <w:r>
          <w:rPr>
            <w:rStyle w:val="Hyperlink"/>
            <w:rFonts w:ascii="Times New Roman" w:hAnsi="Times New Roman"/>
            <w:b w:val="false"/>
            <w:i w:val="false"/>
            <w:color w:val="000000"/>
            <w:sz w:val="22"/>
          </w:rPr>
          <w:t>875—5.21</w:t>
        </w:r>
      </w:hyperlink>
      <w:r>
        <w:rPr>
          <w:rFonts w:ascii="Times New Roman" w:hAnsi="Times New Roman"/>
          <w:b w:val="false"/>
          <w:i w:val="false"/>
          <w:color w:val="000000"/>
          <w:sz w:val="22"/>
        </w:rPr>
        <w:t xml:space="preserve">(88). An applicant for relief and any affected employee are entitled to be named parties. For the purpose of special variance hearing procedures under Iowa Code section </w:t>
      </w:r>
      <w:hyperlink r:id="rId12">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conflicting federal regulatory agency is also a party. The department of inspections, appeals, and licensing, division of labor services, is a party without the necessity of being named.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association, corporation, business trust, legal representative, an organized group of individuals, or an agency, authority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 xml:space="preserve">means waivers or variances pursuant to Iowa Code sections </w:t>
      </w:r>
      <w:hyperlink r:id="rId13">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875—5.3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875—5.4</w:t>
      </w:r>
      <w:r>
        <w:rPr>
          <w:rFonts w:ascii="Times New Roman" w:hAnsi="Times New Roman"/>
          <w:b/>
          <w:i w:val="false"/>
          <w:color w:val="000000"/>
          <w:sz w:val="22"/>
        </w:rPr>
        <w:t xml:space="preserve">(88) </w:t>
      </w:r>
      <w:r>
        <w:rPr>
          <w:rFonts w:ascii="Times New Roman" w:hAnsi="Times New Roman"/>
          <w:b/>
          <w:i w:val="false"/>
          <w:color w:val="000000"/>
          <w:sz w:val="22"/>
        </w:rPr>
        <w:t xml:space="preserve">Effect of variances. </w:t>
      </w:r>
      <w:r>
        <w:rPr>
          <w:rFonts w:ascii="Times New Roman" w:hAnsi="Times New Roman"/>
          <w:b w:val="false"/>
          <w:i w:val="false"/>
          <w:color w:val="000000"/>
          <w:sz w:val="22"/>
        </w:rPr>
        <w:t>All variances granted pursuant to this chapter have only future effect. The commissioner may discretionarily decline to entertain an application for a variance on a subject or issue concerning which a citation has been issued to the employer involved, and a proceeding on the citation or a related issue concerning a proposed penalty or period of abatement is pending before the employment appeal board until the completion of such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875—5.5</w:t>
      </w:r>
      <w:r>
        <w:rPr>
          <w:rFonts w:ascii="Times New Roman" w:hAnsi="Times New Roman"/>
          <w:b/>
          <w:i w:val="false"/>
          <w:color w:val="000000"/>
          <w:sz w:val="22"/>
        </w:rPr>
        <w:t xml:space="preserve">(17A,88)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Information about all orders granting or denying a variance petition are submitted to the legislative services agency through the designated Internet site within 60 days of the granting or denying of the petition. The information submitted is available to the public via the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875—5.7</w:t>
      </w:r>
      <w:r>
        <w:rPr>
          <w:rFonts w:ascii="Times New Roman" w:hAnsi="Times New Roman"/>
          <w:b/>
          <w:i w:val="false"/>
          <w:color w:val="000000"/>
          <w:sz w:val="22"/>
        </w:rPr>
        <w:t xml:space="preserve">(88) </w:t>
      </w:r>
      <w:r>
        <w:rPr>
          <w:rFonts w:ascii="Times New Roman" w:hAnsi="Times New Roman"/>
          <w:b/>
          <w:i w:val="false"/>
          <w:color w:val="000000"/>
          <w:sz w:val="22"/>
        </w:rPr>
        <w:t xml:space="preserve">Temporary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from a standard, or portion thereof, authorized by Iowa Code section </w:t>
      </w:r>
      <w:hyperlink r:id="rId17">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may file a written application containing the information specified in subrule </w:t>
      </w:r>
      <w:r>
        <w:rPr>
          <w:rFonts w:ascii="Times New Roman" w:hAnsi="Times New Roman"/>
          <w:b w:val="false"/>
          <w:i w:val="false"/>
          <w:color w:val="000000"/>
          <w:sz w:val="22"/>
        </w:rPr>
        <w:t>5.7(2)</w:t>
      </w:r>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r>
        <w:rPr>
          <w:rFonts w:ascii="Times New Roman" w:hAnsi="Times New Roman"/>
          <w:b w:val="false"/>
          <w:i w:val="false"/>
          <w:color w:val="000000"/>
          <w:sz w:val="22"/>
        </w:rPr>
        <w:t>5.7(1)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statements and certifications required by Iowa Code section </w:t>
      </w:r>
      <w:hyperlink r:id="rId18">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may also be made for an interim order to be effective until a decision is rendered on the application for the variance filed previously or concurrently. An application for an interim order may include statements of fact and arguments as to why the order should be granted. The commissioner may rule ex parte upon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of application. </w:t>
      </w:r>
      <w:r>
        <w:rPr>
          <w:rFonts w:ascii="Times New Roman" w:hAnsi="Times New Roman"/>
          <w:b w:val="false"/>
          <w:i w:val="false"/>
          <w:color w:val="000000"/>
          <w:sz w:val="22"/>
        </w:rPr>
        <w:t xml:space="preserve">If an application filed pursuant to paragraph </w:t>
      </w:r>
      <w:r>
        <w:rPr>
          <w:rFonts w:ascii="Times New Roman" w:hAnsi="Times New Roman"/>
          <w:b w:val="false"/>
          <w:i w:val="false"/>
          <w:color w:val="000000"/>
          <w:sz w:val="22"/>
        </w:rPr>
        <w:t>5.7(3)</w:t>
      </w:r>
      <w:r>
        <w:rPr>
          <w:rFonts w:ascii="Times New Roman" w:hAnsi="Times New Roman"/>
          <w:b w:val="false"/>
          <w:i/>
          <w:color w:val="000000"/>
          <w:sz w:val="22"/>
        </w:rPr>
        <w:t>“a”</w:t>
      </w:r>
      <w:r>
        <w:rPr>
          <w:rFonts w:ascii="Times New Roman" w:hAnsi="Times New Roman"/>
          <w:b w:val="false"/>
          <w:i w:val="false"/>
          <w:color w:val="000000"/>
          <w:sz w:val="22"/>
        </w:rPr>
        <w:t xml:space="preserve"> is denied, the applicant will be given prompt notice of the denial, which will include, or be accompanied by, a brief statement of the grounds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the grant of an interim order. </w:t>
      </w:r>
      <w:r>
        <w:rPr>
          <w:rFonts w:ascii="Times New Roman" w:hAnsi="Times New Roman"/>
          <w:b w:val="false"/>
          <w:i w:val="false"/>
          <w:color w:val="000000"/>
          <w:sz w:val="22"/>
        </w:rPr>
        <w:t xml:space="preserve">If an interim order is granted, a copy of the order will be served upon the applicant for the order and other parties and notice of the terms of the order will be made in accordance with the notice requirements of rule </w:t>
      </w:r>
      <w:hyperlink r:id="rId19">
        <w:r>
          <w:rPr>
            <w:rStyle w:val="Hyperlink"/>
            <w:rFonts w:ascii="Times New Roman" w:hAnsi="Times New Roman"/>
            <w:b w:val="false"/>
            <w:i w:val="false"/>
            <w:color w:val="000000"/>
            <w:sz w:val="22"/>
          </w:rPr>
          <w:t>875—5.5</w:t>
        </w:r>
      </w:hyperlink>
      <w:r>
        <w:rPr>
          <w:rFonts w:ascii="Times New Roman" w:hAnsi="Times New Roman"/>
          <w:b w:val="false"/>
          <w:i w:val="false"/>
          <w:color w:val="000000"/>
          <w:sz w:val="22"/>
        </w:rPr>
        <w:t>(88). It shall be a condition of the order that the affected employer shall give notice thereof to affected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875—5.8</w:t>
      </w:r>
      <w:r>
        <w:rPr>
          <w:rFonts w:ascii="Times New Roman" w:hAnsi="Times New Roman"/>
          <w:b/>
          <w:i w:val="false"/>
          <w:color w:val="000000"/>
          <w:sz w:val="22"/>
        </w:rPr>
        <w:t xml:space="preserve">(88) </w:t>
      </w:r>
      <w:r>
        <w:rPr>
          <w:rFonts w:ascii="Times New Roman" w:hAnsi="Times New Roman"/>
          <w:b/>
          <w:i w:val="false"/>
          <w:color w:val="000000"/>
          <w:sz w:val="22"/>
        </w:rPr>
        <w:t xml:space="preserve">Permanent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authorized by Iowa Code section </w:t>
      </w:r>
      <w:hyperlink r:id="rId21">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may file a written application containing the information specified in subrule </w:t>
      </w:r>
      <w:r>
        <w:rPr>
          <w:rFonts w:ascii="Times New Roman" w:hAnsi="Times New Roman"/>
          <w:b w:val="false"/>
          <w:i w:val="false"/>
          <w:color w:val="000000"/>
          <w:sz w:val="22"/>
        </w:rPr>
        <w:t>5.8(2)</w:t>
      </w:r>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r>
        <w:rPr>
          <w:rFonts w:ascii="Times New Roman" w:hAnsi="Times New Roman"/>
          <w:b w:val="false"/>
          <w:i w:val="false"/>
          <w:color w:val="000000"/>
          <w:sz w:val="22"/>
        </w:rPr>
        <w:t>5.8(1)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provide employment and places of employment to employees that are as safe and healthful as those required by the standard from which a variance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affected employees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r>
        <w:rPr>
          <w:rFonts w:ascii="Times New Roman" w:hAnsi="Times New Roman"/>
          <w:b w:val="false"/>
          <w:i w:val="false"/>
          <w:color w:val="000000"/>
          <w:sz w:val="22"/>
        </w:rPr>
        <w:t>5.7(3)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875—5.9</w:t>
      </w:r>
      <w:r>
        <w:rPr>
          <w:rFonts w:ascii="Times New Roman" w:hAnsi="Times New Roman"/>
          <w:b/>
          <w:i w:val="false"/>
          <w:color w:val="000000"/>
          <w:sz w:val="22"/>
        </w:rPr>
        <w:t xml:space="preserve">(88) </w:t>
      </w:r>
      <w:r>
        <w:rPr>
          <w:rFonts w:ascii="Times New Roman" w:hAnsi="Times New Roman"/>
          <w:b/>
          <w:i w:val="false"/>
          <w:color w:val="000000"/>
          <w:sz w:val="22"/>
        </w:rPr>
        <w:t xml:space="preserve">Special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special variance authorized by Iowa Code section </w:t>
      </w:r>
      <w:hyperlink r:id="rId23">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may file a written application containing the information specified in subrule </w:t>
      </w:r>
      <w:r>
        <w:rPr>
          <w:rFonts w:ascii="Times New Roman" w:hAnsi="Times New Roman"/>
          <w:b w:val="false"/>
          <w:i w:val="false"/>
          <w:color w:val="000000"/>
          <w:sz w:val="22"/>
        </w:rPr>
        <w:t>5.9(2)</w:t>
      </w:r>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r>
        <w:rPr>
          <w:rFonts w:ascii="Times New Roman" w:hAnsi="Times New Roman"/>
          <w:b w:val="false"/>
          <w:i w:val="false"/>
          <w:color w:val="000000"/>
          <w:sz w:val="22"/>
        </w:rPr>
        <w:t>5.9(1)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federal agency and a designation of the standard, rule, or regulation allegedly in conflict with a standard, rule, or regulation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designation of the standard, rule, or regulation of the division of labor services allegedly in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means, methods, operations, and procedures used and a specific detailed statement as to how and where the conflict exists between federal agency or agencies and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take into consideration the safety and health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employees affected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r>
        <w:rPr>
          <w:rFonts w:ascii="Times New Roman" w:hAnsi="Times New Roman"/>
          <w:b w:val="false"/>
          <w:i w:val="false"/>
          <w:color w:val="000000"/>
          <w:sz w:val="22"/>
        </w:rPr>
        <w:t>5.7(3)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88.7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875—5.10</w:t>
      </w:r>
      <w:r>
        <w:rPr>
          <w:rFonts w:ascii="Times New Roman" w:hAnsi="Times New Roman"/>
          <w:b/>
          <w:i w:val="false"/>
          <w:color w:val="000000"/>
          <w:sz w:val="22"/>
        </w:rPr>
        <w:t xml:space="preserve">(88) </w:t>
      </w:r>
      <w:r>
        <w:rPr>
          <w:rFonts w:ascii="Times New Roman" w:hAnsi="Times New Roman"/>
          <w:b/>
          <w:i w:val="false"/>
          <w:color w:val="000000"/>
          <w:sz w:val="22"/>
        </w:rPr>
        <w:t xml:space="preserve">Modification and revocation of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affected employer or an affected employee may apply in writing to the commissioner for a modification or revocation of a rule or order issued under Iowa Code section </w:t>
      </w:r>
      <w:hyperlink r:id="rId25">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application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relief that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with particularity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certification that the applicant has informed affected employees of the application by: (1) giving a copy thereof to their authorized representative; (2) posting at the place or places where notices to employees are normally posted, a statement giving a summary of the application and specifying where a copy of the full application may be examined (or, in lieu of the summary, posting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affected employee, a certification that a copy of the application has been furnished to the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move to modify or revoke a rule or order issued under Iowa Code section </w:t>
      </w:r>
      <w:hyperlink r:id="rId28">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In such event, the commissioner will cause a notice of intention to be published in accordance with the notice requirements of rule </w:t>
      </w:r>
      <w:hyperlink r:id="rId31">
        <w:r>
          <w:rPr>
            <w:rStyle w:val="Hyperlink"/>
            <w:rFonts w:ascii="Times New Roman" w:hAnsi="Times New Roman"/>
            <w:b w:val="false"/>
            <w:i w:val="false"/>
            <w:color w:val="000000"/>
            <w:sz w:val="22"/>
          </w:rPr>
          <w:t>875—5.5</w:t>
        </w:r>
      </w:hyperlink>
      <w:r>
        <w:rPr>
          <w:rFonts w:ascii="Times New Roman" w:hAnsi="Times New Roman"/>
          <w:b w:val="false"/>
          <w:i w:val="false"/>
          <w:color w:val="000000"/>
          <w:sz w:val="22"/>
        </w:rPr>
        <w:t>(88), affording interested persons an opportunity to submit written data, views or arguments regarding the proposal and informing the affected employer and employees of their right to request a hearing, and other action as may be appropriate to notify the affected employer and employees. Any request for a hearing shall include a short and plain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proposed modification or revocation would affect the requesting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the requesting party would seek to show on the subjects or issues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875—5.11</w:t>
      </w:r>
      <w:r>
        <w:rPr>
          <w:rFonts w:ascii="Times New Roman" w:hAnsi="Times New Roman"/>
          <w:b/>
          <w:i w:val="false"/>
          <w:color w:val="000000"/>
          <w:sz w:val="22"/>
        </w:rPr>
        <w:t xml:space="preserve">(88) </w:t>
      </w:r>
      <w:r>
        <w:rPr>
          <w:rFonts w:ascii="Times New Roman" w:hAnsi="Times New Roman"/>
          <w:b/>
          <w:i w:val="false"/>
          <w:color w:val="000000"/>
          <w:sz w:val="22"/>
        </w:rPr>
        <w:t xml:space="preserve">Action on applications. </w:t>
      </w:r>
      <w:r>
        <w:rPr>
          <w:rFonts w:ascii="Times New Roman" w:hAnsi="Times New Roman"/>
          <w:b w:val="false"/>
          <w:i w:val="false"/>
          <w:color w:val="000000"/>
          <w:sz w:val="22"/>
        </w:rPr>
        <w:t xml:space="preserve">If an application filed pursuant to subrule </w:t>
      </w:r>
      <w:r>
        <w:rPr>
          <w:rFonts w:ascii="Times New Roman" w:hAnsi="Times New Roman"/>
          <w:b w:val="false"/>
          <w:i w:val="false"/>
          <w:color w:val="000000"/>
          <w:sz w:val="22"/>
        </w:rPr>
        <w:t>5.7(1)</w:t>
      </w:r>
      <w:r>
        <w:rPr>
          <w:rFonts w:ascii="Times New Roman" w:hAnsi="Times New Roman"/>
          <w:b w:val="false"/>
          <w:i w:val="false"/>
          <w:color w:val="000000"/>
          <w:sz w:val="22"/>
        </w:rPr>
        <w:t xml:space="preserve">, </w:t>
      </w:r>
      <w:r>
        <w:rPr>
          <w:rFonts w:ascii="Times New Roman" w:hAnsi="Times New Roman"/>
          <w:b w:val="false"/>
          <w:i w:val="false"/>
          <w:color w:val="000000"/>
          <w:sz w:val="22"/>
        </w:rPr>
        <w:t>5.8(1)</w:t>
      </w:r>
      <w:r>
        <w:rPr>
          <w:rFonts w:ascii="Times New Roman" w:hAnsi="Times New Roman"/>
          <w:b w:val="false"/>
          <w:i w:val="false"/>
          <w:color w:val="000000"/>
          <w:sz w:val="22"/>
        </w:rPr>
        <w:t xml:space="preserve">, </w:t>
      </w:r>
      <w:r>
        <w:rPr>
          <w:rFonts w:ascii="Times New Roman" w:hAnsi="Times New Roman"/>
          <w:b w:val="false"/>
          <w:i w:val="false"/>
          <w:color w:val="000000"/>
          <w:sz w:val="22"/>
        </w:rPr>
        <w:t>5.9(1)</w:t>
      </w:r>
      <w:r>
        <w:rPr>
          <w:rFonts w:ascii="Times New Roman" w:hAnsi="Times New Roman"/>
          <w:b w:val="false"/>
          <w:i w:val="false"/>
          <w:color w:val="000000"/>
          <w:sz w:val="22"/>
        </w:rPr>
        <w:t xml:space="preserve">, or </w:t>
      </w:r>
      <w:r>
        <w:rPr>
          <w:rFonts w:ascii="Times New Roman" w:hAnsi="Times New Roman"/>
          <w:b w:val="false"/>
          <w:i w:val="false"/>
          <w:color w:val="000000"/>
          <w:sz w:val="22"/>
        </w:rPr>
        <w:t>5.10(1)</w:t>
      </w:r>
      <w:r>
        <w:rPr>
          <w:rFonts w:ascii="Times New Roman" w:hAnsi="Times New Roman"/>
          <w:b w:val="false"/>
          <w:i w:val="false"/>
          <w:color w:val="000000"/>
          <w:sz w:val="22"/>
        </w:rPr>
        <w:t xml:space="preserve"> does not conform to the applicable rule, the commissioner may deny the application. Prompt notice of the denial of an application will be given to the applicant and will include, or be accompanied by, a brief statement of the grounds for the denial. A denial of an application pursuant to this rule shall be without prejudice to the filing of another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875—5.12</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Requests for hearings on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Within the time allowed by a notice of the filing of an application, any affected employer or employee may file with the commissioner a request for a hearing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a hearing. </w:t>
      </w:r>
      <w:r>
        <w:rPr>
          <w:rFonts w:ascii="Times New Roman" w:hAnsi="Times New Roman"/>
          <w:b w:val="false"/>
          <w:i w:val="false"/>
          <w:color w:val="000000"/>
          <w:sz w:val="22"/>
        </w:rPr>
        <w:t xml:space="preserve">A request for a hearing filed pursuant to subrule </w:t>
      </w:r>
      <w:r>
        <w:rPr>
          <w:rFonts w:ascii="Times New Roman" w:hAnsi="Times New Roman"/>
          <w:b w:val="false"/>
          <w:i w:val="false"/>
          <w:color w:val="000000"/>
          <w:sz w:val="22"/>
        </w:rPr>
        <w:t>5.12(1)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facts showing how the employer or employee would be affected by the requested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specification of any statement or representation in the application that is denied and a concise summary of the evidence that would be adduced in support of each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views or arguments on any issue of fact or law presented.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875—5.13</w:t>
      </w:r>
      <w:r>
        <w:rPr>
          <w:rFonts w:ascii="Times New Roman" w:hAnsi="Times New Roman"/>
          <w:b/>
          <w:i w:val="false"/>
          <w:color w:val="000000"/>
          <w:sz w:val="22"/>
        </w:rPr>
        <w:t xml:space="preserve">(88) </w:t>
      </w:r>
      <w:r>
        <w:rPr>
          <w:rFonts w:ascii="Times New Roman" w:hAnsi="Times New Roman"/>
          <w:b/>
          <w:i w:val="false"/>
          <w:color w:val="000000"/>
          <w:sz w:val="22"/>
        </w:rPr>
        <w:t xml:space="preserve">Consolidation of proceedings. </w:t>
      </w:r>
      <w:r>
        <w:rPr>
          <w:rFonts w:ascii="Times New Roman" w:hAnsi="Times New Roman"/>
          <w:b w:val="false"/>
          <w:i w:val="false"/>
          <w:color w:val="000000"/>
          <w:sz w:val="22"/>
        </w:rPr>
        <w:t>The commissioner may move or any party may move to consolidate or contemporaneously consider two or more proceedings that involve the same or closely related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 notice of hearing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authority under which the hearing is to be 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specification of issues of fact and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875—5.15</w:t>
      </w:r>
      <w:r>
        <w:rPr>
          <w:rFonts w:ascii="Times New Roman" w:hAnsi="Times New Roman"/>
          <w:b/>
          <w:i w:val="false"/>
          <w:color w:val="000000"/>
          <w:sz w:val="22"/>
        </w:rPr>
        <w:t xml:space="preserve">(88) </w:t>
      </w:r>
      <w:r>
        <w:rPr>
          <w:rFonts w:ascii="Times New Roman" w:hAnsi="Times New Roman"/>
          <w:b/>
          <w:i w:val="false"/>
          <w:color w:val="000000"/>
          <w:sz w:val="22"/>
        </w:rPr>
        <w:t xml:space="preserve">Manner of service. </w:t>
      </w:r>
      <w:r>
        <w:rPr>
          <w:rFonts w:ascii="Times New Roman" w:hAnsi="Times New Roman"/>
          <w:b w:val="false"/>
          <w:i w:val="false"/>
          <w:color w:val="000000"/>
          <w:sz w:val="22"/>
        </w:rPr>
        <w:t>Service of any document upon any party may be made by personal delivery of, or by mailing, a copy of the document to the last-known address of the party. The person serving the document certifies the manner and the date of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875—5.16</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 examiner; powers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Powers. </w:t>
      </w:r>
      <w:r>
        <w:rPr>
          <w:rFonts w:ascii="Times New Roman" w:hAnsi="Times New Roman"/>
          <w:b w:val="false"/>
          <w:i w:val="false"/>
          <w:color w:val="000000"/>
          <w:sz w:val="22"/>
        </w:rPr>
        <w:t>The commissioner or the commissioner’s designee presides over the hearing and has all powers necessary or appropriate to conduct a fair, full, and impartial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Private consultation. </w:t>
      </w:r>
      <w:r>
        <w:rPr>
          <w:rFonts w:ascii="Times New Roman" w:hAnsi="Times New Roman"/>
          <w:b w:val="false"/>
          <w:i w:val="false"/>
          <w:color w:val="000000"/>
          <w:sz w:val="22"/>
        </w:rPr>
        <w:t>Except to the extent required for the disposition of ex parte matters, the hearing examiner may not consult a person or a party on any fact at issue unless upon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When the commissioner or the commissioner’s designee deems appropriate to be disqualified to preside, or to continue to preside, over a particular hearing the commissioner or the commissioner’s designee will withdraw therefrom by notice on the record, and the commissioner shall designate another.</w:t>
      </w:r>
    </w:p>
    <w:p>
      <w:pPr>
        <w:spacing w:before="0" w:after="0"/>
        <w:ind w:left="120"/>
        <w:jc w:val="both"/>
      </w:pPr>
      <w:r>
        <w:rPr>
          <w:rFonts w:ascii="Times New Roman" w:hAnsi="Times New Roman"/>
          <w:b w:val="false"/>
          <w:i w:val="false"/>
          <w:color w:val="000000"/>
          <w:sz w:val="22"/>
        </w:rPr>
        <w:t xml:space="preserve">Any party who deems the commissioner or commissioner’s designee for any reason to be disqualified to preside, or to continue to preside, over a particular hearing, may file with the commissioner a motion for disqualification and removal, supported by affidavits setting forth the alleged ground for disqualification. The commissioner’s ruling on the motion is final for the purposes of judicial review under rule </w:t>
      </w:r>
      <w:hyperlink r:id="rId32">
        <w:r>
          <w:rPr>
            <w:rStyle w:val="Hyperlink"/>
            <w:rFonts w:ascii="Times New Roman" w:hAnsi="Times New Roman"/>
            <w:b w:val="false"/>
            <w:i w:val="false"/>
            <w:color w:val="000000"/>
            <w:sz w:val="22"/>
          </w:rPr>
          <w:t>875—5.24</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Contumacious conduct; failure or refusal to appear or obey the rulings of the hearing examiner. </w:t>
      </w:r>
      <w:r>
        <w:rPr>
          <w:rFonts w:ascii="Times New Roman" w:hAnsi="Times New Roman"/>
          <w:b w:val="false"/>
          <w:i w:val="false"/>
          <w:color w:val="000000"/>
          <w:sz w:val="22"/>
        </w:rPr>
        <w:t>Contumacious conduct at any hearing before the hearing examiner is a ground for exclusion from the hearing.</w:t>
      </w:r>
    </w:p>
    <w:p>
      <w:pPr>
        <w:spacing w:before="0" w:after="0"/>
        <w:ind w:left="120"/>
        <w:jc w:val="both"/>
      </w:pPr>
      <w:r>
        <w:rPr>
          <w:rFonts w:ascii="Times New Roman" w:hAnsi="Times New Roman"/>
          <w:b w:val="false"/>
          <w:i w:val="false"/>
          <w:color w:val="000000"/>
          <w:sz w:val="22"/>
        </w:rPr>
        <w:t>If a witness or a party refuses to answer a question after being directed to do so, or refuses to obey an order to provide or permit discovery, the hearing examiner may make such orders with regard to the refusal as are just and appropriate, including an order denying the application of an applicant or regulating the contents of the record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Referral to Iowa rules of civil procedure. </w:t>
      </w:r>
      <w:r>
        <w:rPr>
          <w:rFonts w:ascii="Times New Roman" w:hAnsi="Times New Roman"/>
          <w:b w:val="false"/>
          <w:i w:val="false"/>
          <w:color w:val="000000"/>
          <w:sz w:val="22"/>
        </w:rPr>
        <w:t xml:space="preserve">On any procedural question not regulated by Iowa Code chapter </w:t>
      </w:r>
      <w:hyperlink r:id="rId33">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or this chapter, the hearing examiner is guided by the Iowa Rules of Civil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875—5.17</w:t>
      </w:r>
      <w:r>
        <w:rPr>
          <w:rFonts w:ascii="Times New Roman" w:hAnsi="Times New Roman"/>
          <w:b/>
          <w:i w:val="false"/>
          <w:color w:val="000000"/>
          <w:sz w:val="22"/>
        </w:rPr>
        <w:t xml:space="preserve">(88)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color w:val="000000"/>
          <w:sz w:val="22"/>
        </w:rPr>
        <w:t xml:space="preserve">Convening conference. </w:t>
      </w:r>
      <w:r>
        <w:rPr>
          <w:rFonts w:ascii="Times New Roman" w:hAnsi="Times New Roman"/>
          <w:b w:val="false"/>
          <w:i w:val="false"/>
          <w:color w:val="000000"/>
          <w:sz w:val="22"/>
        </w:rPr>
        <w:t>Upon the commissioner’s own motion or the motion of a party, the commissioner or the commissioner’s designee may direct the parties or the parties’ counsel to meet with the commissioner for a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Simplification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Necessity or desirability of amendments to documents for purpose of clarification, simplification,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admissions of fact and of contents and authenticity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the number of parties and of expert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tend to expedite the disposition of the proceeding and to ensure a just conclusion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color w:val="000000"/>
          <w:sz w:val="22"/>
        </w:rPr>
        <w:t xml:space="preserve">Record of conference. </w:t>
      </w:r>
      <w:r>
        <w:rPr>
          <w:rFonts w:ascii="Times New Roman" w:hAnsi="Times New Roman"/>
          <w:b w:val="false"/>
          <w:i w:val="false"/>
          <w:color w:val="000000"/>
          <w:sz w:val="22"/>
        </w:rPr>
        <w:t>The commissioner or the commissioner’s designee shall make an order that recites the action taken at the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875—5.18</w:t>
      </w:r>
      <w:r>
        <w:rPr>
          <w:rFonts w:ascii="Times New Roman" w:hAnsi="Times New Roman"/>
          <w:b/>
          <w:i w:val="false"/>
          <w:color w:val="000000"/>
          <w:sz w:val="22"/>
        </w:rPr>
        <w:t xml:space="preserve">(88) </w:t>
      </w:r>
      <w:r>
        <w:rPr>
          <w:rFonts w:ascii="Times New Roman" w:hAnsi="Times New Roman"/>
          <w:b/>
          <w:i w:val="false"/>
          <w:color w:val="000000"/>
          <w:sz w:val="22"/>
        </w:rPr>
        <w:t xml:space="preserve">Consent findings and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Negotiation by parties. </w:t>
      </w:r>
      <w:r>
        <w:rPr>
          <w:rFonts w:ascii="Times New Roman" w:hAnsi="Times New Roman"/>
          <w:b w:val="false"/>
          <w:i w:val="false"/>
          <w:color w:val="000000"/>
          <w:sz w:val="22"/>
        </w:rPr>
        <w:t>A reasonable opportunity may be afforded to permit negotiation by the parties of an agreement containing consent findings and a rule or order disposing of the whole or any part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In the event an agreement containing consent findings and rule or order is submitted within the time allowed therefor, the hearing examiner may accept such agreement by issuing a decision based upon the agreed findings.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875—5.19</w:t>
      </w:r>
      <w:r>
        <w:rPr>
          <w:rFonts w:ascii="Times New Roman" w:hAnsi="Times New Roman"/>
          <w:b/>
          <w:i w:val="false"/>
          <w:color w:val="000000"/>
          <w:sz w:val="22"/>
        </w:rPr>
        <w:t xml:space="preserve">(88) </w:t>
      </w:r>
      <w:r>
        <w:rPr>
          <w:rFonts w:ascii="Times New Roman" w:hAnsi="Times New Roman"/>
          <w:b/>
          <w:i w:val="false"/>
          <w:color w:val="000000"/>
          <w:sz w:val="22"/>
        </w:rPr>
        <w:t xml:space="preserve">Discovery. </w:t>
      </w:r>
      <w:r>
        <w:rPr>
          <w:rFonts w:ascii="Times New Roman" w:hAnsi="Times New Roman"/>
          <w:b w:val="false"/>
          <w:i w:val="false"/>
          <w:color w:val="000000"/>
          <w:sz w:val="22"/>
        </w:rPr>
        <w:t>Whenever appropriate to a just disposition of any issue in a hearing, the hearing examiner may allow discovery by appropriate procedures, such as by written interrogatories upon a party, depositions, production of documents by a party, or by entry for inspection of the employment or place of employment involved. Iowa Rules of Civil Procedure are applicable to such authorized discovery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875—5.20</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 </w:t>
      </w:r>
      <w:r>
        <w:rPr>
          <w:rFonts w:ascii="Times New Roman" w:hAnsi="Times New Roman"/>
          <w:b w:val="false"/>
          <w:i w:val="false"/>
          <w:color w:val="000000"/>
          <w:sz w:val="22"/>
        </w:rPr>
        <w:t>Except as may be ordered otherwise by the hearing examiner, the party applicant for relief proceeds first at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party applicant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Proof for a special variance. </w:t>
      </w:r>
      <w:r>
        <w:rPr>
          <w:rFonts w:ascii="Times New Roman" w:hAnsi="Times New Roman"/>
          <w:b w:val="false"/>
          <w:i w:val="false"/>
          <w:color w:val="000000"/>
          <w:sz w:val="22"/>
        </w:rPr>
        <w:t>Before a special variance may be granted, there must be proof that an actual conflict does exist. The proof required to establish such conflict is information in writing or oral testimony from a representative of the involved federal regulatory agency or agencies, substantiated by evidence, that there is a conflict between the standards, rules or regulations of the federal agency and those of the division of labor services. Also, the applicant must prove that compliance with the standard, rule or regulation of the division of labor services would subject the applicant to probable citation, penalty, or prosecution for violating such federal agency standard,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5.20(4)</w:t>
      </w: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Hearings are stenographically reported or audio-recorded. Copies of the transcript may be obtained by the parties upon written application filed with the reporter and upon the payment of fees at the rate provided in the agreement with the reporter.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875—5.21</w:t>
      </w:r>
      <w:r>
        <w:rPr>
          <w:rFonts w:ascii="Times New Roman" w:hAnsi="Times New Roman"/>
          <w:b/>
          <w:i w:val="false"/>
          <w:color w:val="000000"/>
          <w:sz w:val="22"/>
        </w:rPr>
        <w:t xml:space="preserve">(88) </w:t>
      </w:r>
      <w:r>
        <w:rPr>
          <w:rFonts w:ascii="Times New Roman" w:hAnsi="Times New Roman"/>
          <w:b/>
          <w:i w:val="false"/>
          <w:color w:val="000000"/>
          <w:sz w:val="22"/>
        </w:rPr>
        <w:t xml:space="preserve">Decisions of hearing examiner.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color w:val="000000"/>
          <w:sz w:val="22"/>
        </w:rPr>
        <w:t xml:space="preserve">Proposed findings of fact, conclusions, and rules or orders. </w:t>
      </w:r>
      <w:r>
        <w:rPr>
          <w:rFonts w:ascii="Times New Roman" w:hAnsi="Times New Roman"/>
          <w:b w:val="false"/>
          <w:i w:val="false"/>
          <w:color w:val="000000"/>
          <w:sz w:val="22"/>
        </w:rPr>
        <w:t>Within ten days after receipt of notice that the transcript of the testimony has been filed or such additional time as the hearing examiner may allow, each party may file with the hearing examiner proposed findings of fact, conclusions of law, and rule or order, together with supporting briefs served on all other parties, and refer to all portions of the record and to all authorities relied upon in support of each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Within a reasonable time after the time allowed for the filing of proposed findings of fact, conclusions of law, and rule or order, the hearing examiner will issue a decision that will be reviewed and countersigned by the commissioner. The commissioner will serve the decision upon each party, and the decision is final upon the twentieth day after service thereof. The decision will include: (1) a statement of findings and conclusions, with reasons and bases therefor, upon each material issue of fact, law, or discretion presented on the record, and (2) the appropriate rule, order, relief or denial thereof.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color w:val="000000"/>
          <w:sz w:val="22"/>
        </w:rPr>
        <w:t xml:space="preserve">Grant of a special variance. </w:t>
      </w:r>
      <w:r>
        <w:rPr>
          <w:rFonts w:ascii="Times New Roman" w:hAnsi="Times New Roman"/>
          <w:b w:val="false"/>
          <w:i w:val="false"/>
          <w:color w:val="000000"/>
          <w:sz w:val="22"/>
        </w:rPr>
        <w:t xml:space="preserve">The grant of a special variance is renewable upon review by the commissioner at six-month intervals beginning on the date the decision becomes final under subrule </w:t>
      </w:r>
      <w:r>
        <w:rPr>
          <w:rFonts w:ascii="Times New Roman" w:hAnsi="Times New Roman"/>
          <w:b w:val="false"/>
          <w:i w:val="false"/>
          <w:color w:val="000000"/>
          <w:sz w:val="22"/>
        </w:rPr>
        <w:t>5.21(2)</w:t>
      </w:r>
      <w:r>
        <w:rPr>
          <w:rFonts w:ascii="Times New Roman" w:hAnsi="Times New Roman"/>
          <w:b w:val="false"/>
          <w:i w:val="false"/>
          <w:color w:val="000000"/>
          <w:sz w:val="22"/>
        </w:rPr>
        <w:t xml:space="preserve">. If at the time of the review the commissioner finds that there has been a change in the standard, rule, or regulation or a change in the interpretation of such standard, rule or regulation of the federal agency or the division of labor services affecting or resolving the conflict on which the special variance was granted, the commissioner will set the case for an evidentiary hearing in accordance with rules </w:t>
      </w:r>
      <w:hyperlink r:id="rId34">
        <w:r>
          <w:rPr>
            <w:rStyle w:val="Hyperlink"/>
            <w:rFonts w:ascii="Times New Roman" w:hAnsi="Times New Roman"/>
            <w:b w:val="false"/>
            <w:i w:val="false"/>
            <w:color w:val="000000"/>
            <w:sz w:val="22"/>
          </w:rPr>
          <w:t>875—5.14</w:t>
        </w:r>
      </w:hyperlink>
      <w:r>
        <w:rPr>
          <w:rFonts w:ascii="Times New Roman" w:hAnsi="Times New Roman"/>
          <w:b w:val="false"/>
          <w:i w:val="false"/>
          <w:color w:val="000000"/>
          <w:sz w:val="22"/>
        </w:rPr>
        <w:t xml:space="preserve">(88) through </w:t>
      </w:r>
      <w:hyperlink r:id="rId35">
        <w:r>
          <w:rPr>
            <w:rStyle w:val="Hyperlink"/>
            <w:rFonts w:ascii="Times New Roman" w:hAnsi="Times New Roman"/>
            <w:b w:val="false"/>
            <w:i w:val="false"/>
            <w:color w:val="000000"/>
            <w:sz w:val="22"/>
          </w:rPr>
          <w:t>875—5.21</w:t>
        </w:r>
      </w:hyperlink>
      <w:r>
        <w:rPr>
          <w:rFonts w:ascii="Times New Roman" w:hAnsi="Times New Roman"/>
          <w:b w:val="false"/>
          <w:i w:val="false"/>
          <w:color w:val="000000"/>
          <w:sz w:val="22"/>
        </w:rPr>
        <w:t>(88). Enforcement is stayed during review and hearing procedures under this rule.</w:t>
      </w:r>
    </w:p>
    <w:p>
      <w:pPr>
        <w:spacing w:before="0" w:after="0"/>
        <w:ind w:left="120"/>
        <w:jc w:val="both"/>
      </w:pPr>
      <w:r>
        <w:rPr>
          <w:rFonts w:ascii="Times New Roman" w:hAnsi="Times New Roman"/>
          <w:b w:val="false"/>
          <w:i w:val="false"/>
          <w:color w:val="000000"/>
          <w:sz w:val="22"/>
        </w:rPr>
        <w:t>Affected employees shall be notified by their employer of a renewal or a refusal to renew by: (1) giving a copy of the commissioner’s notice to the authorized employee representative; (2) posting a copy of the commissioner’s notice at the place or places where notices to employees are normally posted; and (3) other appropriate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875—5.22</w:t>
      </w:r>
      <w:r>
        <w:rPr>
          <w:rFonts w:ascii="Times New Roman" w:hAnsi="Times New Roman"/>
          <w:b/>
          <w:i w:val="false"/>
          <w:color w:val="000000"/>
          <w:sz w:val="22"/>
        </w:rPr>
        <w:t xml:space="preserve">(88) </w:t>
      </w:r>
      <w:r>
        <w:rPr>
          <w:rFonts w:ascii="Times New Roman" w:hAnsi="Times New Roman"/>
          <w:b/>
          <w:i w:val="false"/>
          <w:color w:val="000000"/>
          <w:sz w:val="22"/>
        </w:rPr>
        <w:t xml:space="preserve">Motion for 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Any party may, at least 20 days before the date fixed for any hearing, move with or without supporting affidavits for a summary decision in favor of the moving party on all or any part of the proceeding. Any other party may, within ten days after service of the motion, serve opposing affidavits or countermove for summary decision. The hearing examiner may discretionarily set the matter for argument and call for the submission of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any documents under subrule </w:t>
      </w:r>
      <w:r>
        <w:rPr>
          <w:rFonts w:ascii="Times New Roman" w:hAnsi="Times New Roman"/>
          <w:b w:val="false"/>
          <w:i w:val="false"/>
          <w:color w:val="000000"/>
          <w:sz w:val="22"/>
        </w:rPr>
        <w:t>5.22(1)</w:t>
      </w:r>
      <w:r>
        <w:rPr>
          <w:rFonts w:ascii="Times New Roman" w:hAnsi="Times New Roman"/>
          <w:b w:val="false"/>
          <w:i w:val="false"/>
          <w:color w:val="000000"/>
          <w:sz w:val="22"/>
        </w:rPr>
        <w:t xml:space="preserve"> shall be with the commissioner, and copies of any such documents shall be served in accordance with rule </w:t>
      </w:r>
      <w:hyperlink r:id="rId36">
        <w:r>
          <w:rPr>
            <w:rStyle w:val="Hyperlink"/>
            <w:rFonts w:ascii="Times New Roman" w:hAnsi="Times New Roman"/>
            <w:b w:val="false"/>
            <w:i w:val="false"/>
            <w:color w:val="000000"/>
            <w:sz w:val="22"/>
          </w:rPr>
          <w:t>875—5.15</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The hearing examiner may grant the motion if the pleadings, affidavits, material obtained by discovery or otherwise obtained, or matters officially noticed show that there is no genuine issue as to any material fact and that a party is entitled to summary decision. The hearing examiner may deny such motion whenever the moving party denies access to information by means of discovery to a party opposing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Affidavits shall set forth such facts as would be admissible in evidence in the hearing and show affirmatively that the affiant is competent to testify to the matters stated therein. When a motion for summary decision is made and supported as provided in this rule, a party opposing the motion may not rest upon the mere allegations or denials of its own pleading. The response of the party opposing the motion must set forth specific facts showing that there is a genuine issue of fact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opposing party cannot for reasons stated present by affidavit facts essential to justify the opposition, the hearing examiner may deny the motion for summary decision or may order a continuance to permit affidavits to be obtained or discovery to be had or may make such other order as is just.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875—5.23</w:t>
      </w:r>
      <w:r>
        <w:rPr>
          <w:rFonts w:ascii="Times New Roman" w:hAnsi="Times New Roman"/>
          <w:b/>
          <w:i w:val="false"/>
          <w:color w:val="000000"/>
          <w:sz w:val="22"/>
        </w:rPr>
        <w:t xml:space="preserve">(88) </w:t>
      </w:r>
      <w:r>
        <w:rPr>
          <w:rFonts w:ascii="Times New Roman" w:hAnsi="Times New Roman"/>
          <w:b/>
          <w:i w:val="false"/>
          <w:color w:val="000000"/>
          <w:sz w:val="22"/>
        </w:rPr>
        <w:t xml:space="preserve">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color w:val="000000"/>
          <w:sz w:val="22"/>
        </w:rPr>
        <w:t xml:space="preserve">No genuine issue of material fact.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no genuine issue of a material fact is found to have been raised, the hearing examiner may issue a decision to become final 20 days after service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made under subrule </w:t>
      </w:r>
      <w:r>
        <w:rPr>
          <w:rFonts w:ascii="Times New Roman" w:hAnsi="Times New Roman"/>
          <w:b w:val="false"/>
          <w:i w:val="false"/>
          <w:color w:val="000000"/>
          <w:sz w:val="22"/>
        </w:rPr>
        <w:t>5.23(1)</w:t>
      </w:r>
      <w:r>
        <w:rPr>
          <w:rFonts w:ascii="Times New Roman" w:hAnsi="Times New Roman"/>
          <w:b w:val="false"/>
          <w:i w:val="false"/>
          <w:color w:val="000000"/>
          <w:sz w:val="22"/>
        </w:rPr>
        <w:t xml:space="preserve"> includes a statement of: (1) findings and conclusions, and the reasons or bases therefor, on all issues presented; and (2) the terms and conditions of the rule or order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color w:val="000000"/>
          <w:sz w:val="22"/>
        </w:rPr>
        <w:t xml:space="preserve">Hearings on issues of fact. </w:t>
      </w:r>
      <w:r>
        <w:rPr>
          <w:rFonts w:ascii="Times New Roman" w:hAnsi="Times New Roman"/>
          <w:b w:val="false"/>
          <w:i w:val="false"/>
          <w:color w:val="000000"/>
          <w:sz w:val="22"/>
        </w:rPr>
        <w:t xml:space="preserve">Where a genuine material question of fact is raised, the hearing examiner will, and in any other case may, set the case for an evidentiary hearing in accordance with rules </w:t>
      </w:r>
      <w:hyperlink r:id="rId37">
        <w:r>
          <w:rPr>
            <w:rStyle w:val="Hyperlink"/>
            <w:rFonts w:ascii="Times New Roman" w:hAnsi="Times New Roman"/>
            <w:b w:val="false"/>
            <w:i w:val="false"/>
            <w:color w:val="000000"/>
            <w:sz w:val="22"/>
          </w:rPr>
          <w:t>875—5.14</w:t>
        </w:r>
      </w:hyperlink>
      <w:r>
        <w:rPr>
          <w:rFonts w:ascii="Times New Roman" w:hAnsi="Times New Roman"/>
          <w:b w:val="false"/>
          <w:i w:val="false"/>
          <w:color w:val="000000"/>
          <w:sz w:val="22"/>
        </w:rPr>
        <w:t xml:space="preserve">(88) through </w:t>
      </w:r>
      <w:hyperlink r:id="rId38">
        <w:r>
          <w:rPr>
            <w:rStyle w:val="Hyperlink"/>
            <w:rFonts w:ascii="Times New Roman" w:hAnsi="Times New Roman"/>
            <w:b w:val="false"/>
            <w:i w:val="false"/>
            <w:color w:val="000000"/>
            <w:sz w:val="22"/>
          </w:rPr>
          <w:t>875—5.21</w:t>
        </w:r>
      </w:hyperlink>
      <w:r>
        <w:rPr>
          <w:rFonts w:ascii="Times New Roman" w:hAnsi="Times New Roman"/>
          <w:b w:val="false"/>
          <w:i w:val="false"/>
          <w:color w:val="000000"/>
          <w:sz w:val="22"/>
        </w:rPr>
        <w:t>(88).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875—5.24</w:t>
      </w:r>
      <w:r>
        <w:rPr>
          <w:rFonts w:ascii="Times New Roman" w:hAnsi="Times New Roman"/>
          <w:b/>
          <w:i w:val="false"/>
          <w:color w:val="000000"/>
          <w:sz w:val="22"/>
        </w:rPr>
        <w:t xml:space="preserve">(88) </w:t>
      </w:r>
      <w:r>
        <w:rPr>
          <w:rFonts w:ascii="Times New Roman" w:hAnsi="Times New Roman"/>
          <w:b/>
          <w:i w:val="false"/>
          <w:color w:val="000000"/>
          <w:sz w:val="22"/>
        </w:rPr>
        <w:t xml:space="preserve">Finality for purposes of judicial review. </w:t>
      </w:r>
      <w:r>
        <w:rPr>
          <w:rFonts w:ascii="Times New Roman" w:hAnsi="Times New Roman"/>
          <w:b w:val="false"/>
          <w:i w:val="false"/>
          <w:color w:val="000000"/>
          <w:sz w:val="22"/>
        </w:rPr>
        <w:t>A preliminary, procedural or intermediate agency action or ruling is immediately reviewable if review of the final agency decision would not provide an adequate remedy. The filing of the petition does not itself stay enforcement of the agency decision. The agency may grant, or the reviewing court may order, a stay upon appropriate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17A.9A </w:t>
        </w:r>
      </w:hyperlink>
      <w:r>
        <w:rPr>
          <w:rFonts w:ascii="Times New Roman" w:hAnsi="Times New Roman"/>
          <w:b w:val="false"/>
          <w:i w:val="false"/>
          <w:color w:val="000000"/>
          <w:sz w:val="22"/>
        </w:rPr>
        <w:t xml:space="preserve">and </w:t>
      </w:r>
      <w:hyperlink r:id="rId40">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10/11/72]</w:t>
      </w:r>
    </w:p>
    <w:p>
      <w:pPr>
        <w:spacing w:before="0" w:after="0"/>
        <w:ind w:left="120"/>
        <w:jc w:val="center"/>
      </w:pPr>
      <w:r>
        <w:rPr>
          <w:rFonts w:ascii="Times New Roman" w:hAnsi="Times New Roman"/>
          <w:b w:val="false"/>
          <w:i w:val="false"/>
          <w:color w:val="000000"/>
          <w:sz w:val="21"/>
        </w:rPr>
        <w:t>[Filed emergency 2/15/80—published 3/5/80, effective 2/15/80]</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8432C</w:t>
      </w:r>
      <w:r>
        <w:rPr>
          <w:rFonts w:ascii="Times New Roman" w:hAnsi="Times New Roman"/>
          <w:b w:val="false"/>
          <w:i w:val="false"/>
          <w:color w:val="000000"/>
          <w:sz w:val="21"/>
        </w:rPr>
        <w:t xml:space="preserve"> (Notice ARC 8237C, IAB 10/2/24)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88.5.pdf" Type="http://schemas.openxmlformats.org/officeDocument/2006/relationships/hyperlink" Id="rId6"/>
    <Relationship TargetMode="External" Target="https://www.legis.iowa.gov/docs/ico/chapter/88.5.pdf" Type="http://schemas.openxmlformats.org/officeDocument/2006/relationships/hyperlink" Id="rId7"/>
    <Relationship TargetMode="External" Target="https://www.legis.iowa.gov/docs/ico/chapter/88.5.pdf" Type="http://schemas.openxmlformats.org/officeDocument/2006/relationships/hyperlink" Id="rId8"/>
    <Relationship TargetMode="External" Target="https://www.legis.iowa.gov/docs/ico/chapter/88.3.pdf" Type="http://schemas.openxmlformats.org/officeDocument/2006/relationships/hyperlink" Id="rId9"/>
    <Relationship TargetMode="External" Target="https://www.legis.iowa.gov/docs/iac/rule/875.5.14.pdf" Type="http://schemas.openxmlformats.org/officeDocument/2006/relationships/hyperlink" Id="rId10"/>
    <Relationship TargetMode="External" Target="https://www.legis.iowa.gov/docs/iac/rule/875.5.21.pdf" Type="http://schemas.openxmlformats.org/officeDocument/2006/relationships/hyperlink" Id="rId11"/>
    <Relationship TargetMode="External" Target="https://www.legis.iowa.gov/docs/ico/chapter/88.5.pdf" Type="http://schemas.openxmlformats.org/officeDocument/2006/relationships/hyperlink" Id="rId12"/>
    <Relationship TargetMode="External" Target="https://www.legis.iowa.gov/docs/ico/chapter/17A.9A.pdf" Type="http://schemas.openxmlformats.org/officeDocument/2006/relationships/hyperlink" Id="rId13"/>
    <Relationship TargetMode="External" Target="https://www.legis.iowa.gov/docs/ico/chapter/88.5.pdf" Type="http://schemas.openxmlformats.org/officeDocument/2006/relationships/hyperlink" Id="rId14"/>
    <Relationship TargetMode="External" Target="https://www.legis.iowa.gov/docs/ico/chapter/88.5.pdf" Type="http://schemas.openxmlformats.org/officeDocument/2006/relationships/hyperlink" Id="rId15"/>
    <Relationship TargetMode="External" Target="https://www.legis.iowa.gov/docs/ico/chapter/88.5.pdf" Type="http://schemas.openxmlformats.org/officeDocument/2006/relationships/hyperlink" Id="rId16"/>
    <Relationship TargetMode="External" Target="https://www.legis.iowa.gov/docs/ico/chapter/88.5.pdf" Type="http://schemas.openxmlformats.org/officeDocument/2006/relationships/hyperlink" Id="rId17"/>
    <Relationship TargetMode="External" Target="https://www.legis.iowa.gov/docs/ico/chapter/88.5.pdf" Type="http://schemas.openxmlformats.org/officeDocument/2006/relationships/hyperlink" Id="rId18"/>
    <Relationship TargetMode="External" Target="https://www.legis.iowa.gov/docs/iac/rule/875.5.5.pdf" Type="http://schemas.openxmlformats.org/officeDocument/2006/relationships/hyperlink" Id="rId19"/>
    <Relationship TargetMode="External" Target="https://www.legis.iowa.gov/docs/ico/chapter/88.3.pdf" Type="http://schemas.openxmlformats.org/officeDocument/2006/relationships/hyperlink" Id="rId20"/>
    <Relationship TargetMode="External" Target="https://www.legis.iowa.gov/docs/ico/chapter/88.5.pdf" Type="http://schemas.openxmlformats.org/officeDocument/2006/relationships/hyperlink" Id="rId21"/>
    <Relationship TargetMode="External" Target="https://www.legis.iowa.gov/docs/ico/chapter/88.6.pdf" Type="http://schemas.openxmlformats.org/officeDocument/2006/relationships/hyperlink" Id="rId22"/>
    <Relationship TargetMode="External" Target="https://www.legis.iowa.gov/docs/ico/chapter/88.5.pdf" Type="http://schemas.openxmlformats.org/officeDocument/2006/relationships/hyperlink" Id="rId23"/>
    <Relationship TargetMode="External" Target="https://www.legis.iowa.gov/docs/ico/chapter/88.7.pdf" Type="http://schemas.openxmlformats.org/officeDocument/2006/relationships/hyperlink" Id="rId24"/>
    <Relationship TargetMode="External" Target="https://www.legis.iowa.gov/docs/ico/chapter/88.5.pdf" Type="http://schemas.openxmlformats.org/officeDocument/2006/relationships/hyperlink" Id="rId25"/>
    <Relationship TargetMode="External" Target="https://www.legis.iowa.gov/docs/ico/chapter/88.5.pdf" Type="http://schemas.openxmlformats.org/officeDocument/2006/relationships/hyperlink" Id="rId26"/>
    <Relationship TargetMode="External" Target="https://www.legis.iowa.gov/docs/ico/chapter/88.5.pdf" Type="http://schemas.openxmlformats.org/officeDocument/2006/relationships/hyperlink" Id="rId27"/>
    <Relationship TargetMode="External" Target="https://www.legis.iowa.gov/docs/ico/chapter/88.5.pdf" Type="http://schemas.openxmlformats.org/officeDocument/2006/relationships/hyperlink" Id="rId28"/>
    <Relationship TargetMode="External" Target="https://www.legis.iowa.gov/docs/ico/chapter/88.5.pdf" Type="http://schemas.openxmlformats.org/officeDocument/2006/relationships/hyperlink" Id="rId29"/>
    <Relationship TargetMode="External" Target="https://www.legis.iowa.gov/docs/ico/chapter/88.5.pdf" Type="http://schemas.openxmlformats.org/officeDocument/2006/relationships/hyperlink" Id="rId30"/>
    <Relationship TargetMode="External" Target="https://www.legis.iowa.gov/docs/iac/rule/875.5.5.pdf" Type="http://schemas.openxmlformats.org/officeDocument/2006/relationships/hyperlink" Id="rId31"/>
    <Relationship TargetMode="External" Target="https://www.legis.iowa.gov/docs/iac/rule/875.5.24.pdf" Type="http://schemas.openxmlformats.org/officeDocument/2006/relationships/hyperlink" Id="rId32"/>
    <Relationship TargetMode="External" Target="https://www.legis.iowa.gov/docs/ico/chapter/88.pdf" Type="http://schemas.openxmlformats.org/officeDocument/2006/relationships/hyperlink" Id="rId33"/>
    <Relationship TargetMode="External" Target="https://www.legis.iowa.gov/docs/iac/rule/875.5.14.pdf" Type="http://schemas.openxmlformats.org/officeDocument/2006/relationships/hyperlink" Id="rId34"/>
    <Relationship TargetMode="External" Target="https://www.legis.iowa.gov/docs/iac/rule/875.5.21.pdf" Type="http://schemas.openxmlformats.org/officeDocument/2006/relationships/hyperlink" Id="rId35"/>
    <Relationship TargetMode="External" Target="https://www.legis.iowa.gov/docs/iac/rule/875.5.15.pdf" Type="http://schemas.openxmlformats.org/officeDocument/2006/relationships/hyperlink" Id="rId36"/>
    <Relationship TargetMode="External" Target="https://www.legis.iowa.gov/docs/iac/rule/875.5.14.pdf" Type="http://schemas.openxmlformats.org/officeDocument/2006/relationships/hyperlink" Id="rId37"/>
    <Relationship TargetMode="External" Target="https://www.legis.iowa.gov/docs/iac/rule/875.5.21.pdf" Type="http://schemas.openxmlformats.org/officeDocument/2006/relationships/hyperlink" Id="rId38"/>
    <Relationship TargetMode="External" Target="https://www.legis.iowa.gov/docs/ico/chapter/17A.9A.pdf" Type="http://schemas.openxmlformats.org/officeDocument/2006/relationships/hyperlink" Id="rId39"/>
    <Relationship TargetMode="External" Target="https://www.legis.iowa.gov/docs/ico/chapter/88.5.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