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RECORDING AND REPORTING OCCUPATIONAL INJURIES AND ILLNESSES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public and private employers.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reports of injury.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report to the division of workers’ compensation is considered to be a report to the division of labor services. The division of workers’ compensation will forward all reports to the division of labor services.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and reporting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noted in this rule, the federal Occupational Safety and Health Administration (OSHA) regulations at 29 CFR 1904.0 through 1904.46 as published at 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6122 through 6135 (January 19, 2001) are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amendments to 29 CFR 1904.0 through 1904.46 are adopted: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52031-52034 (October 12, 2001)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44047 (July 1,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77170 (December 17, 2002)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38606 (June 30, 2003)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79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56186 (September 18, 2014)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29691 (May 12,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31854 (May 20, 2016)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405 (January 25,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21457 (May 14, 2019)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85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8731 (February 18, 2020)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47254 (July 21, 2023)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reporting methods set forth in 29 CFR 1904.39(a), employers may make reports required by 29 CFR 1904.39 using at least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Completing the incident report form and faxing or emailing the completed form to Iowa OSHA in the department of inspections, appeals, and licensing;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Calling 877.242.6742;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Visiting 6200 Park Avenue, Suite 100, Des Moines, Iowa.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July 13, 1972; amended August 29, 1972, December 1, 1972, April 2, 1973,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February 28, 1975]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12/15/75, Notice 10/6/75—published 12/29/75, effective 2/4/76]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11/18/77, Notice 10/5/77—published 12/14/77, effective 1/20/78]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3/15/78, Notice 2/8/78—published 4/5/78, effective 5/15/78]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11/2/78, Notice 9/20/78—published 11/15/78, effective 12/22/78]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11/8/79—published 11/28/79,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11/20/79—published 12/12/79, effective 11/20/79]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12/5/79]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10/3/80, Notice 7/9/80—published 10/29/80, effective 12/3/80]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7/1/83, Notice 5/11/83—published 7/20/83, effective 9/1/83]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10/6/94 after Notice 7/6/94—published 10/26/94, effective 10/26/94]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1/21/00, Notice 8/25/99—published 2/9/00, effective 3/15/00]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12/19/01 after Notice 11/14/01—published 1/23/02, effective 1/1/02]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11/22/02—published 12/11/02, effective 1/1/03]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3/28/03, Notice 2/19/03—published 4/16/03, effective 5/21/03]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7/16/04 after Notice 6/9/04—published 8/4/04, effective 8/4/04]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1677C, IAB 10/15/14)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12/10/14, effective 1/14/15]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2688C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2615C, IAB 7/6/16)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8/31/16, effective 11/1/16]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4412C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4318C, IAB 2/27/19)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4/24/19, effective 5/29/19]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4640C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4520C, IAB 7/3/19)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8/28/19, effective 10/2/19]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5022C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4894C, IAB 2/12/20)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4/8/20, effective 5/13/20]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5158C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4996C, IAB 3/25/20)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8/26/20, effective 9/30/20]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6986C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6771C, IAB 12/28/22)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4/19/23, effective 5/24/23]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8113C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7941C, IAB 5/15/24)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7/10/24, effective 6/19/24]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