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32</w:t>
      </w:r>
    </w:p>
    <w:p>
      <w:pPr>
        <w:spacing w:before="0" w:after="0"/>
        <w:ind w:left="120"/>
        <w:jc w:val="center"/>
      </w:pPr>
      <w:r>
        <w:rPr>
          <w:rFonts w:ascii="Times New Roman" w:hAnsi="Times New Roman"/>
          <w:b w:val="false"/>
          <w:i w:val="false"/>
          <w:color w:val="000000"/>
          <w:sz w:val="21"/>
        </w:rPr>
        <w:t>CHILD LABOR</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10/21/98, see 347—Ch 32]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875—32.1</w:t>
      </w:r>
      <w:r>
        <w:rPr>
          <w:rFonts w:ascii="Times New Roman" w:hAnsi="Times New Roman"/>
          <w:b/>
          <w:i w:val="false"/>
          <w:color w:val="000000"/>
          <w:sz w:val="22"/>
        </w:rPr>
        <w:t xml:space="preserve">(92)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“Filing date” </w:t>
      </w:r>
      <w:r>
        <w:rPr>
          <w:rFonts w:ascii="Times New Roman" w:hAnsi="Times New Roman"/>
          <w:b w:val="false"/>
          <w:i w:val="false"/>
          <w:color w:val="000000"/>
          <w:sz w:val="22"/>
        </w:rPr>
        <w:t>means the date a document is postmarked by the U.S. Postal Service, if the document is filed by mailing and the U.S. postmark is legible. For a document filed via facsimile transmission, “filing date” means the date the document is transmitted. For any other document, “filing date” means the date the document is received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“Operated by the child’s parents,” </w:t>
      </w:r>
      <w:r>
        <w:rPr>
          <w:rFonts w:ascii="Times New Roman" w:hAnsi="Times New Roman"/>
          <w:b w:val="false"/>
          <w:i w:val="false"/>
          <w:color w:val="000000"/>
          <w:sz w:val="22"/>
        </w:rPr>
        <w:t xml:space="preserve">as used in Iowa Code section </w:t>
      </w:r>
      <w:hyperlink r:id="rId5">
        <w:r>
          <w:rPr>
            <w:rStyle w:val="Hyperlink"/>
            <w:rFonts w:ascii="Times New Roman" w:hAnsi="Times New Roman"/>
            <w:b w:val="false"/>
            <w:i w:val="false"/>
            <w:color w:val="000000"/>
            <w:sz w:val="22"/>
          </w:rPr>
          <w:t>92.17(2)</w:t>
        </w:r>
      </w:hyperlink>
      <w:r>
        <w:rPr>
          <w:rFonts w:ascii="Times New Roman" w:hAnsi="Times New Roman"/>
          <w:b w:val="false"/>
          <w:i w:val="false"/>
          <w:color w:val="000000"/>
          <w:sz w:val="22"/>
        </w:rPr>
        <w:t>, means a business operated by the child’s parent or licensed foster parent who has control of the day-to-day operation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“Serious injury or illness” </w:t>
      </w:r>
      <w:r>
        <w:rPr>
          <w:rFonts w:ascii="Times New Roman" w:hAnsi="Times New Roman"/>
          <w:b w:val="false"/>
          <w:i w:val="false"/>
          <w:color w:val="000000"/>
          <w:sz w:val="22"/>
        </w:rPr>
        <w:t>means an illness or injury requiring medical attention beyond first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“Week,” </w:t>
      </w:r>
      <w:r>
        <w:rPr>
          <w:rFonts w:ascii="Times New Roman" w:hAnsi="Times New Roman"/>
          <w:b w:val="false"/>
          <w:i w:val="false"/>
          <w:color w:val="000000"/>
          <w:sz w:val="22"/>
        </w:rPr>
        <w:t xml:space="preserve">as used in Iowa Code section </w:t>
      </w:r>
      <w:hyperlink r:id="rId6">
        <w:r>
          <w:rPr>
            <w:rStyle w:val="Hyperlink"/>
            <w:rFonts w:ascii="Times New Roman" w:hAnsi="Times New Roman"/>
            <w:b w:val="false"/>
            <w:i w:val="false"/>
            <w:color w:val="000000"/>
            <w:sz w:val="22"/>
          </w:rPr>
          <w:t>92.7</w:t>
        </w:r>
      </w:hyperlink>
      <w:r>
        <w:rPr>
          <w:rFonts w:ascii="Times New Roman" w:hAnsi="Times New Roman"/>
          <w:b w:val="false"/>
          <w:i w:val="false"/>
          <w:color w:val="000000"/>
          <w:sz w:val="22"/>
        </w:rPr>
        <w:t>, means Sunday through Saturday.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“Willfully volunteering” </w:t>
      </w:r>
      <w:r>
        <w:rPr>
          <w:rFonts w:ascii="Times New Roman" w:hAnsi="Times New Roman"/>
          <w:b w:val="false"/>
          <w:i w:val="false"/>
          <w:color w:val="000000"/>
          <w:sz w:val="22"/>
        </w:rPr>
        <w:t>means performing service for a charitable or public purpose without promise, expectation, or receipt of compensation. A child is a volunteer only if services are offered freely and without direct or implied pressure or coercion from an employer. A child is not a volunteer if the child is otherwise employed by the same charitable or public organization to perform the same type of services as those for which the child proposes to volunteer. A child is a volunteer while working in commercial activities incidental to the stated purpose of a nonprofit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“Working days,” </w:t>
      </w:r>
      <w:r>
        <w:rPr>
          <w:rFonts w:ascii="Times New Roman" w:hAnsi="Times New Roman"/>
          <w:b w:val="false"/>
          <w:i w:val="false"/>
          <w:color w:val="000000"/>
          <w:sz w:val="22"/>
        </w:rPr>
        <w:t xml:space="preserve">as used in rule </w:t>
      </w:r>
      <w:hyperlink r:id="rId7">
        <w:r>
          <w:rPr>
            <w:rStyle w:val="Hyperlink"/>
            <w:rFonts w:ascii="Times New Roman" w:hAnsi="Times New Roman"/>
            <w:b w:val="false"/>
            <w:i w:val="false"/>
            <w:color w:val="000000"/>
            <w:sz w:val="22"/>
          </w:rPr>
          <w:t>875—32.12</w:t>
        </w:r>
      </w:hyperlink>
      <w:r>
        <w:rPr>
          <w:rFonts w:ascii="Times New Roman" w:hAnsi="Times New Roman"/>
          <w:b w:val="false"/>
          <w:i w:val="false"/>
          <w:color w:val="000000"/>
          <w:sz w:val="22"/>
        </w:rPr>
        <w:t>(92), means Mondays through Fridays but does not include Saturdays, Sundays or federal or state holidays. In computing 15 working days, the day of receipt of any notice is not included and the last day of the 15 working days is included.</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
        <w:r>
          <w:rPr>
            <w:rStyle w:val="Hyperlink"/>
            <w:rFonts w:ascii="Times New Roman" w:hAnsi="Times New Roman"/>
            <w:b w:val="false"/>
            <w:i w:val="false"/>
            <w:color w:val="000000"/>
            <w:sz w:val="22"/>
          </w:rPr>
          <w:t>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875—32.2</w:t>
      </w:r>
      <w:r>
        <w:rPr>
          <w:rFonts w:ascii="Times New Roman" w:hAnsi="Times New Roman"/>
          <w:b w:val="false"/>
          <w:i w:val="false"/>
          <w:color w:val="000000"/>
          <w:sz w:val="22"/>
        </w:rPr>
        <w:t xml:space="preserve"> to </w:t>
      </w:r>
      <w:r>
        <w:rPr>
          <w:rFonts w:ascii="Times New Roman" w:hAnsi="Times New Roman"/>
          <w:b/>
          <w:i w:val="false"/>
          <w:color w:val="000000"/>
          <w:sz w:val="22"/>
        </w:rPr>
        <w:t>32.4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875—32.5</w:t>
      </w:r>
      <w:r>
        <w:rPr>
          <w:rFonts w:ascii="Times New Roman" w:hAnsi="Times New Roman"/>
          <w:b/>
          <w:i w:val="false"/>
          <w:color w:val="000000"/>
          <w:sz w:val="22"/>
        </w:rPr>
        <w:t xml:space="preserve">(92) </w:t>
      </w:r>
      <w:r>
        <w:rPr>
          <w:rFonts w:ascii="Times New Roman" w:hAnsi="Times New Roman"/>
          <w:b/>
          <w:i w:val="false"/>
          <w:color w:val="000000"/>
          <w:sz w:val="22"/>
        </w:rPr>
        <w:t xml:space="preserve">Terms. </w:t>
      </w:r>
      <w:r>
        <w:rPr>
          <w:rFonts w:ascii="Times New Roman" w:hAnsi="Times New Roman"/>
          <w:b w:val="false"/>
          <w:i w:val="false"/>
          <w:color w:val="000000"/>
          <w:sz w:val="22"/>
        </w:rPr>
        <w:t xml:space="preserve">The terms used in Iowa Code section </w:t>
      </w:r>
      <w:hyperlink r:id="rId9">
        <w:r>
          <w:rPr>
            <w:rStyle w:val="Hyperlink"/>
            <w:rFonts w:ascii="Times New Roman" w:hAnsi="Times New Roman"/>
            <w:b w:val="false"/>
            <w:i w:val="false"/>
            <w:color w:val="000000"/>
            <w:sz w:val="22"/>
          </w:rPr>
          <w:t>92.5</w:t>
        </w:r>
      </w:hyperlink>
      <w:r>
        <w:rPr>
          <w:rFonts w:ascii="Times New Roman" w:hAnsi="Times New Roman"/>
          <w:b w:val="false"/>
          <w:i w:val="false"/>
          <w:color w:val="000000"/>
          <w:sz w:val="22"/>
        </w:rPr>
        <w:t xml:space="preserve"> are defined and applied as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w:t>
      </w:r>
      <w:r>
        <w:rPr>
          <w:rFonts w:ascii="Times New Roman" w:hAnsi="Times New Roman"/>
          <w:b w:val="false"/>
          <w:i w:val="false"/>
          <w:color w:val="000000"/>
          <w:sz w:val="22"/>
        </w:rPr>
        <w:t> </w:t>
      </w:r>
      <w:r>
        <w:rPr>
          <w:rFonts w:ascii="Times New Roman" w:hAnsi="Times New Roman"/>
          <w:b w:val="false"/>
          <w:i/>
          <w:color w:val="000000"/>
          <w:sz w:val="22"/>
        </w:rPr>
        <w:t xml:space="preserve">Cleaning products that require personal protective equipment. </w:t>
      </w:r>
      <w:r>
        <w:rPr>
          <w:rFonts w:ascii="Times New Roman" w:hAnsi="Times New Roman"/>
          <w:b w:val="false"/>
          <w:i w:val="false"/>
          <w:color w:val="000000"/>
          <w:sz w:val="22"/>
        </w:rPr>
        <w:t>Prior to allowing a 14- or 15-year-old to use cleaning products that require personal protective equipment, the employer shall submit to the director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safety data sheets of all such chemicals the minor will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What personal protective equipment the minor will be using with each chemical that requires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of training the minor on the use of the required personal protective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 cleaning, washing, and polishing” </w:t>
      </w:r>
      <w:r>
        <w:rPr>
          <w:rFonts w:ascii="Times New Roman" w:hAnsi="Times New Roman"/>
          <w:b w:val="false"/>
          <w:i w:val="false"/>
          <w:color w:val="000000"/>
          <w:sz w:val="22"/>
        </w:rPr>
        <w:t xml:space="preserve">as used in Iowa Code section </w:t>
      </w:r>
      <w:hyperlink r:id="rId10">
        <w:r>
          <w:rPr>
            <w:rStyle w:val="Hyperlink"/>
            <w:rFonts w:ascii="Times New Roman" w:hAnsi="Times New Roman"/>
            <w:b w:val="false"/>
            <w:i w:val="false"/>
            <w:color w:val="000000"/>
            <w:sz w:val="22"/>
          </w:rPr>
          <w:t>92.5(9)</w:t>
        </w:r>
      </w:hyperlink>
      <w:r>
        <w:rPr>
          <w:rFonts w:ascii="Times New Roman" w:hAnsi="Times New Roman"/>
          <w:b w:val="false"/>
          <w:i w:val="false"/>
          <w:color w:val="000000"/>
          <w:sz w:val="22"/>
        </w:rPr>
        <w:t xml:space="preserve"> does not include using chemicals that recommend personal protective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“Laundering” </w:t>
      </w:r>
      <w:r>
        <w:rPr>
          <w:rFonts w:ascii="Times New Roman" w:hAnsi="Times New Roman"/>
          <w:b w:val="false"/>
          <w:i w:val="false"/>
          <w:color w:val="000000"/>
          <w:sz w:val="22"/>
        </w:rPr>
        <w:t xml:space="preserve">as used in Iowa Code section </w:t>
      </w:r>
      <w:hyperlink r:id="rId11">
        <w:r>
          <w:rPr>
            <w:rStyle w:val="Hyperlink"/>
            <w:rFonts w:ascii="Times New Roman" w:hAnsi="Times New Roman"/>
            <w:b w:val="false"/>
            <w:i w:val="false"/>
            <w:color w:val="000000"/>
            <w:sz w:val="22"/>
          </w:rPr>
          <w:t>92.5(12)</w:t>
        </w:r>
      </w:hyperlink>
      <w:r>
        <w:rPr>
          <w:rFonts w:ascii="Times New Roman" w:hAnsi="Times New Roman"/>
          <w:b w:val="false"/>
          <w:i w:val="false"/>
          <w:color w:val="000000"/>
          <w:sz w:val="22"/>
        </w:rPr>
        <w:t xml:space="preserve"> includes laundering with residential-style machines and includes laundromats. It includes industrial laundering on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parent or guardian gives written permission, to be kept on file by the employer, for the minor to do industrial laundering.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minor is not exposed to any chemicals that recommend personal protective equipment.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employer provides nonslip shoes.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employer provides training on bloodborne pathogens.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minor lifts loads of no more than 30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“Light tools” </w:t>
      </w:r>
      <w:r>
        <w:rPr>
          <w:rFonts w:ascii="Times New Roman" w:hAnsi="Times New Roman"/>
          <w:b w:val="false"/>
          <w:i w:val="false"/>
          <w:color w:val="000000"/>
          <w:sz w:val="22"/>
        </w:rPr>
        <w:t xml:space="preserve">as used in Iowa Code section </w:t>
      </w:r>
      <w:hyperlink r:id="rId12">
        <w:r>
          <w:rPr>
            <w:rStyle w:val="Hyperlink"/>
            <w:rFonts w:ascii="Times New Roman" w:hAnsi="Times New Roman"/>
            <w:b w:val="false"/>
            <w:i w:val="false"/>
            <w:color w:val="000000"/>
            <w:sz w:val="22"/>
          </w:rPr>
          <w:t>92.5(11)</w:t>
        </w:r>
      </w:hyperlink>
      <w:r>
        <w:rPr>
          <w:rFonts w:ascii="Times New Roman" w:hAnsi="Times New Roman"/>
          <w:b w:val="false"/>
          <w:i w:val="false"/>
          <w:color w:val="000000"/>
          <w:sz w:val="22"/>
        </w:rPr>
        <w:t xml:space="preserve"> includes the listed tools that are up to 30 pounds.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92.5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875—32.6</w:t>
      </w:r>
      <w:r>
        <w:rPr>
          <w:rFonts w:ascii="Times New Roman" w:hAnsi="Times New Roman"/>
          <w:b/>
          <w:i w:val="false"/>
          <w:color w:val="000000"/>
          <w:sz w:val="22"/>
        </w:rPr>
        <w:t xml:space="preserve">(92) </w:t>
      </w:r>
      <w:r>
        <w:rPr>
          <w:rFonts w:ascii="Times New Roman" w:hAnsi="Times New Roman"/>
          <w:b/>
          <w:i w:val="false"/>
          <w:color w:val="000000"/>
          <w:sz w:val="22"/>
        </w:rPr>
        <w:t xml:space="preserve">Terms. </w:t>
      </w:r>
      <w:r>
        <w:rPr>
          <w:rFonts w:ascii="Times New Roman" w:hAnsi="Times New Roman"/>
          <w:b w:val="false"/>
          <w:i w:val="false"/>
          <w:color w:val="000000"/>
          <w:sz w:val="22"/>
        </w:rPr>
        <w:t xml:space="preserve">The terms used in Iowa Code section </w:t>
      </w:r>
      <w:hyperlink r:id="rId14">
        <w:r>
          <w:rPr>
            <w:rStyle w:val="Hyperlink"/>
            <w:rFonts w:ascii="Times New Roman" w:hAnsi="Times New Roman"/>
            <w:b w:val="false"/>
            <w:i w:val="false"/>
            <w:color w:val="000000"/>
            <w:sz w:val="22"/>
          </w:rPr>
          <w:t>92.6A</w:t>
        </w:r>
      </w:hyperlink>
      <w:r>
        <w:rPr>
          <w:rFonts w:ascii="Times New Roman" w:hAnsi="Times New Roman"/>
          <w:b w:val="false"/>
          <w:i w:val="false"/>
          <w:color w:val="000000"/>
          <w:sz w:val="22"/>
        </w:rPr>
        <w:t xml:space="preserve"> are defined and applied as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“Light assembly work” </w:t>
      </w:r>
      <w:r>
        <w:rPr>
          <w:rFonts w:ascii="Times New Roman" w:hAnsi="Times New Roman"/>
          <w:b w:val="false"/>
          <w:i w:val="false"/>
          <w:color w:val="000000"/>
          <w:sz w:val="22"/>
        </w:rPr>
        <w:t>means assembling with nonpower hand tools and does not include welding.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“Properly licensed” </w:t>
      </w:r>
      <w:r>
        <w:rPr>
          <w:rFonts w:ascii="Times New Roman" w:hAnsi="Times New Roman"/>
          <w:b w:val="false"/>
          <w:i w:val="false"/>
          <w:color w:val="000000"/>
          <w:sz w:val="22"/>
        </w:rPr>
        <w:t>means a minor who holds a current license from the National Pool and Waterpark Lifeguard Training Program in one of the following programs: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National Pool and Waterpark Pool Lifeguard.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National Pool and Waterpark Lifeguard Training.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National Pool and Waterpark Deep Water Lifeguard.</w:t>
      </w:r>
    </w:p>
    <w:p>
      <w:pPr>
        <w:spacing w:before="0" w:after="0"/>
        <w:ind w:left="120"/>
        <w:jc w:val="both"/>
      </w:pPr>
      <w:r>
        <w:rPr>
          <w:rFonts w:ascii="Times New Roman" w:hAnsi="Times New Roman"/>
          <w:b w:val="false"/>
          <w:i w:val="false"/>
          <w:color w:val="000000"/>
          <w:sz w:val="22"/>
        </w:rPr>
        <w:t>If there is a question whether a specific training course meets the requirements of these rules, information about the course should be submitted to the director for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32.6(2)</w:t>
      </w:r>
      <w:r>
        <w:rPr>
          <w:rFonts w:ascii="Times New Roman" w:hAnsi="Times New Roman"/>
          <w:b w:val="false"/>
          <w:i w:val="false"/>
          <w:color w:val="000000"/>
          <w:sz w:val="22"/>
        </w:rPr>
        <w:t> </w:t>
      </w:r>
      <w:r>
        <w:rPr>
          <w:rFonts w:ascii="Times New Roman" w:hAnsi="Times New Roman"/>
          <w:b w:val="false"/>
          <w:i/>
          <w:color w:val="000000"/>
          <w:sz w:val="22"/>
        </w:rPr>
        <w:t xml:space="preserve">Waiver of weight limitation. </w:t>
      </w:r>
      <w:r>
        <w:rPr>
          <w:rFonts w:ascii="Times New Roman" w:hAnsi="Times New Roman"/>
          <w:b w:val="false"/>
          <w:i w:val="false"/>
          <w:color w:val="000000"/>
          <w:sz w:val="22"/>
        </w:rPr>
        <w:t xml:space="preserve">An employer may submit an application for waiver to allow a 15-year-old person to load, unload, or lift up to 50 pounds for work allowed under Iowa Code section </w:t>
      </w:r>
      <w:hyperlink r:id="rId15">
        <w:r>
          <w:rPr>
            <w:rStyle w:val="Hyperlink"/>
            <w:rFonts w:ascii="Times New Roman" w:hAnsi="Times New Roman"/>
            <w:b w:val="false"/>
            <w:i w:val="false"/>
            <w:color w:val="000000"/>
            <w:sz w:val="22"/>
          </w:rPr>
          <w:t>92.6A(1)</w:t>
        </w:r>
      </w:hyperlink>
      <w:r>
        <w:rPr>
          <w:rFonts w:ascii="Times New Roman" w:hAnsi="Times New Roman"/>
          <w:b w:val="false"/>
          <w:i w:val="false"/>
          <w:color w:val="000000"/>
          <w:sz w:val="22"/>
        </w:rPr>
        <w:t>. The application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information required by the director in an application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Be signed by the employer, the minor employee, and a parent or guardian.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documentation from a physician or physician’s assistant that the minor is physically capable of this work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32.6(3)</w:t>
      </w:r>
      <w:r>
        <w:rPr>
          <w:rFonts w:ascii="Times New Roman" w:hAnsi="Times New Roman"/>
          <w:b w:val="false"/>
          <w:i w:val="false"/>
          <w:color w:val="000000"/>
          <w:sz w:val="22"/>
        </w:rPr>
        <w:t> </w:t>
      </w:r>
      <w:r>
        <w:rPr>
          <w:rFonts w:ascii="Times New Roman" w:hAnsi="Times New Roman"/>
          <w:b w:val="false"/>
          <w:i/>
          <w:color w:val="000000"/>
          <w:sz w:val="22"/>
        </w:rPr>
        <w:t xml:space="preserve">Waiver to unload lawn machines. </w:t>
      </w:r>
      <w:r>
        <w:rPr>
          <w:rFonts w:ascii="Times New Roman" w:hAnsi="Times New Roman"/>
          <w:b w:val="false"/>
          <w:i w:val="false"/>
          <w:color w:val="000000"/>
          <w:sz w:val="22"/>
        </w:rPr>
        <w:t xml:space="preserve">An employer may submit an application consistent with paragraphs </w:t>
      </w:r>
      <w:r>
        <w:rPr>
          <w:rFonts w:ascii="Times New Roman" w:hAnsi="Times New Roman"/>
          <w:b w:val="false"/>
          <w:i w:val="false"/>
          <w:color w:val="000000"/>
          <w:sz w:val="22"/>
        </w:rPr>
        <w:t>32.6(2)</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for a waiver to allow a 15-year-old person to unload lawn machines under Iowa Code section </w:t>
      </w:r>
      <w:hyperlink r:id="rId16">
        <w:r>
          <w:rPr>
            <w:rStyle w:val="Hyperlink"/>
            <w:rFonts w:ascii="Times New Roman" w:hAnsi="Times New Roman"/>
            <w:b w:val="false"/>
            <w:i w:val="false"/>
            <w:color w:val="000000"/>
            <w:sz w:val="22"/>
          </w:rPr>
          <w:t>92.6A(3)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92.6A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875—32.7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875—32.8</w:t>
      </w:r>
      <w:r>
        <w:rPr>
          <w:rFonts w:ascii="Times New Roman" w:hAnsi="Times New Roman"/>
          <w:b/>
          <w:i w:val="false"/>
          <w:color w:val="000000"/>
          <w:sz w:val="22"/>
        </w:rPr>
        <w:t xml:space="preserve">(92) </w:t>
      </w:r>
      <w:r>
        <w:rPr>
          <w:rFonts w:ascii="Times New Roman" w:hAnsi="Times New Roman"/>
          <w:b/>
          <w:i w:val="false"/>
          <w:color w:val="000000"/>
          <w:sz w:val="22"/>
        </w:rPr>
        <w:t xml:space="preserve">Terms. </w:t>
      </w:r>
      <w:r>
        <w:rPr>
          <w:rFonts w:ascii="Times New Roman" w:hAnsi="Times New Roman"/>
          <w:b w:val="false"/>
          <w:i w:val="false"/>
          <w:color w:val="000000"/>
          <w:sz w:val="22"/>
        </w:rPr>
        <w:t xml:space="preserve">The terms used in Iowa Code section </w:t>
      </w:r>
      <w:hyperlink r:id="rId18">
        <w:r>
          <w:rPr>
            <w:rStyle w:val="Hyperlink"/>
            <w:rFonts w:ascii="Times New Roman" w:hAnsi="Times New Roman"/>
            <w:b w:val="false"/>
            <w:i w:val="false"/>
            <w:color w:val="000000"/>
            <w:sz w:val="22"/>
          </w:rPr>
          <w:t>92.8</w:t>
        </w:r>
      </w:hyperlink>
      <w:r>
        <w:rPr>
          <w:rFonts w:ascii="Times New Roman" w:hAnsi="Times New Roman"/>
          <w:b w:val="false"/>
          <w:i w:val="false"/>
          <w:color w:val="000000"/>
          <w:sz w:val="22"/>
        </w:rPr>
        <w:t xml:space="preserve"> are defined and applied as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32.8(1)</w:t>
      </w:r>
      <w:r>
        <w:rPr>
          <w:rFonts w:ascii="Times New Roman" w:hAnsi="Times New Roman"/>
          <w:b w:val="false"/>
          <w:i w:val="false"/>
          <w:color w:val="000000"/>
          <w:sz w:val="22"/>
        </w:rPr>
        <w:t> </w:t>
      </w:r>
      <w:r>
        <w:rPr>
          <w:rFonts w:ascii="Times New Roman" w:hAnsi="Times New Roman"/>
          <w:b w:val="false"/>
          <w:i w:val="false"/>
          <w:color w:val="000000"/>
          <w:sz w:val="22"/>
        </w:rPr>
        <w:t>“Work activities in or about plants or establishments manufacturing or storing explosives or articles containing explosive components”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activities in or about any plant or establishment (other than retail establishments or plants or establishments of the type described in paragraph </w:t>
      </w:r>
      <w:r>
        <w:rPr>
          <w:rFonts w:ascii="Times New Roman" w:hAnsi="Times New Roman"/>
          <w:b w:val="false"/>
          <w:i w:val="false"/>
          <w:color w:val="000000"/>
          <w:sz w:val="22"/>
        </w:rPr>
        <w:t>32.8(1)</w:t>
      </w:r>
      <w:r>
        <w:rPr>
          <w:rFonts w:ascii="Times New Roman" w:hAnsi="Times New Roman"/>
          <w:b w:val="false"/>
          <w:i/>
          <w:color w:val="000000"/>
          <w:sz w:val="22"/>
        </w:rPr>
        <w:t>“b”</w:t>
      </w:r>
      <w:r>
        <w:rPr>
          <w:rFonts w:ascii="Times New Roman" w:hAnsi="Times New Roman"/>
          <w:b w:val="false"/>
          <w:i w:val="false"/>
          <w:color w:val="000000"/>
          <w:sz w:val="22"/>
        </w:rPr>
        <w:t>) manufacturing or storing explosives or articles containing explosive components except where the activities are performed in a nonexplosive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activities in or about any plant or establishment manufacturing or storing small-arms ammunition not exceeding .60 caliber in size, shotgun shells, or blasting caps when manufactured or stored in conjunction with the manufacture of small-arms ammunition: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manufacturing, mixing, transporting, or handling of explosive compounds in the manufacture of small-arms ammunition and all other activities requiring the performance of any duties in the explosives area in which explosive compounds are manufactured or mixed.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manufacturing, transporting, or handling of primers and all other activities requiring the performance of any duties in the same building in which primers are manufactured.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priming of cartridges and all other activities requiring the performance of any duties in the same workroom in which rim-fire cartridges are primed.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plate loading of cartridges and in the operation of automatic loading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loading, inspecting, packing, shipping and storage of blasting caps.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“Explosives”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“articles containing explosive components” </w:t>
      </w:r>
      <w:r>
        <w:rPr>
          <w:rFonts w:ascii="Times New Roman" w:hAnsi="Times New Roman"/>
          <w:b w:val="false"/>
          <w:i w:val="false"/>
          <w:color w:val="000000"/>
          <w:sz w:val="22"/>
        </w:rPr>
        <w:t>means and includes ammunition, black powder, blasting caps, fireworks, high explosives, primers, smokeless powder, and all goods classified and defined as explosives by the Interstate Commerce Commission in regulations for the transportation of explosives and other dangerous substances by common carriers (49 CFR Parts 71-78, in effect July 1,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“Nonexplosive area” </w:t>
      </w:r>
      <w:r>
        <w:rPr>
          <w:rFonts w:ascii="Times New Roman" w:hAnsi="Times New Roman"/>
          <w:b w:val="false"/>
          <w:i w:val="false"/>
          <w:color w:val="000000"/>
          <w:sz w:val="22"/>
        </w:rPr>
        <w:t>means an area where none of the work performed in the area involves the handling or use of explosives; the area is separated from the explosives area by a distance not less than that prescribed in the American Table of Distances for the protection of inhabited buildings; the area is separated from the explosives area by a fence or is otherwise located so that it constitutes a definite designated area; and satisfactory controls have been established to prevent employees under 18 years of age within the area from entering any area in or about the plant that does not meet the criteria of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“Plant or establishment manufacturing or storing explosives or articles containing explosive components” </w:t>
      </w:r>
      <w:r>
        <w:rPr>
          <w:rFonts w:ascii="Times New Roman" w:hAnsi="Times New Roman"/>
          <w:b w:val="false"/>
          <w:i w:val="false"/>
          <w:color w:val="000000"/>
          <w:sz w:val="22"/>
        </w:rPr>
        <w:t>means the land with all the buildings and other structures thereon used in connection with the manufacturing or processing or storing of explosives or articles containing explosive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subrule prohibits light assembly work that is away from machines, and nothing in this subrule prohibits selling or assisting in the sale of consumer fireworks in accordance with Iowa Code section </w:t>
      </w:r>
      <w:hyperlink r:id="rId19">
        <w:r>
          <w:rPr>
            <w:rStyle w:val="Hyperlink"/>
            <w:rFonts w:ascii="Times New Roman" w:hAnsi="Times New Roman"/>
            <w:b w:val="false"/>
            <w:i w:val="false"/>
            <w:color w:val="000000"/>
            <w:sz w:val="22"/>
          </w:rPr>
          <w:t>10A.519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20">
        <w:r>
          <w:rPr>
            <w:rStyle w:val="Hyperlink"/>
            <w:rFonts w:ascii="Times New Roman" w:hAnsi="Times New Roman"/>
            <w:b w:val="false"/>
            <w:i w:val="false"/>
            <w:color w:val="000000"/>
            <w:sz w:val="22"/>
          </w:rPr>
          <w:t>92.8(1)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32.8(2)</w:t>
      </w:r>
      <w:r>
        <w:rPr>
          <w:rFonts w:ascii="Times New Roman" w:hAnsi="Times New Roman"/>
          <w:b w:val="false"/>
          <w:i w:val="false"/>
          <w:color w:val="000000"/>
          <w:sz w:val="22"/>
        </w:rPr>
        <w:t> </w:t>
      </w:r>
      <w:r>
        <w:rPr>
          <w:rFonts w:ascii="Times New Roman" w:hAnsi="Times New Roman"/>
          <w:b w:val="false"/>
          <w:i w:val="false"/>
          <w:color w:val="000000"/>
          <w:sz w:val="22"/>
        </w:rPr>
        <w:t>“Logging and the operation of any sawmill, lath mill, shingle mill, or cooperage-stock mill” means all related activities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Exceptions applying to logging: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Work in offices or in repair or maintenance shops.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Work in the construction, operation, repair or maintenance of living and administrative quarters or logging camps.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Work in timber cruising, surveying, or logging-engineering parties; work in the repair or maintenance of roads, railroads, or flumes; work in forest protection, such as clearing fire trails or roads, piling and burning slash, maintaining firefighting equipment, constructing and maintaining telephone lines, or acting as fire lookout or fire patrol person away from the actual logging operations. This exception does not apply to the felling or bucking of timber, the collecting or transporting of logs, the operation of power-driven machinery, the handling or use of explosives, and work on trestles.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Peeling of fence posts, pulpwood, chemical wood, excelsior wood, cordwood, or similar products, when not done in conjunction with and at the same time and place as other logging activities prohibited by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Work in the feeding or care of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Exceptions applying to the operation of any permanent sawmill or the operation of any lath mill, shingle mill, or cooperage-stock mill: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Work in offices or in repair or maintenance shops.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Straightening, marking, or tallying lumber on the dry chain or the dry drop sorter.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Pulling lumber from the dry chain.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Cleanup in the lumberyard.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Piling, handling, or shipping of cooperage stock in yards or storage sheds, other than operating or assisting in the operation of power-driven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Clerical work in yards or shipping sheds, such as done by order persons, tally persons, and shipping clerks.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Cleanup work outside shake and shingle mills, except when the mill is in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Splitting shakes manually from precut and split blocks with a froe and mallet, except inside the mill building or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Packing shakes into bundles when done in conjunction with splitting shakes manually with a froe and mallet, except inside the mill building or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Manual loading of bundles of shingles or shakes into trucks or railroad cars, provided that the employer has on file a statement from a licensed doctor of medicine or osteopathy certifying the minor capable of performing this work without injury. The exceptions in subparagraphs </w:t>
      </w:r>
      <w:r>
        <w:rPr>
          <w:rFonts w:ascii="Times New Roman" w:hAnsi="Times New Roman"/>
          <w:b w:val="false"/>
          <w:i w:val="false"/>
          <w:color w:val="000000"/>
          <w:sz w:val="22"/>
        </w:rPr>
        <w:t>32.8(2)</w:t>
      </w:r>
      <w:r>
        <w:rPr>
          <w:rFonts w:ascii="Times New Roman" w:hAnsi="Times New Roman"/>
          <w:b w:val="false"/>
          <w:i/>
          <w:color w:val="000000"/>
          <w:sz w:val="22"/>
        </w:rPr>
        <w:t>“b”</w:t>
      </w:r>
      <w:r>
        <w:rPr>
          <w:rFonts w:ascii="Times New Roman" w:hAnsi="Times New Roman"/>
          <w:b w:val="false"/>
          <w:i w:val="false"/>
          <w:color w:val="000000"/>
          <w:sz w:val="22"/>
        </w:rPr>
        <w:t xml:space="preserve">(1) through </w:t>
      </w:r>
      <w:hyperlink r:id="rId21">
        <w:r>
          <w:rPr>
            <w:rStyle w:val="Hyperlink"/>
            <w:rFonts w:ascii="Times New Roman" w:hAnsi="Times New Roman"/>
            <w:b w:val="false"/>
            <w:i w:val="false"/>
            <w:color w:val="000000"/>
            <w:sz w:val="22"/>
          </w:rPr>
          <w:t>32.8(2)</w:t>
        </w:r>
      </w:hyperlink>
      <w:r>
        <w:rPr>
          <w:rFonts w:ascii="Times New Roman" w:hAnsi="Times New Roman"/>
          <w:b w:val="false"/>
          <w:i/>
          <w:color w:val="000000"/>
          <w:sz w:val="22"/>
        </w:rPr>
        <w:t>“b”</w:t>
      </w:r>
      <w:r>
        <w:rPr>
          <w:rFonts w:ascii="Times New Roman" w:hAnsi="Times New Roman"/>
          <w:b w:val="false"/>
          <w:i w:val="false"/>
          <w:color w:val="000000"/>
          <w:sz w:val="22"/>
        </w:rPr>
        <w:t>(10) do not apply to a portable sawmill if the lumberyard of the sawmill is used only for the temporary storage of green lumber and in connection with which no office or repair or maintenance shop is ordinarily maintained and work that entails entering the sawmill building.</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 activities in the operation of any sawmill, lath mill, shingle mill, or cooperage-stock mill” </w:t>
      </w:r>
      <w:r>
        <w:rPr>
          <w:rFonts w:ascii="Times New Roman" w:hAnsi="Times New Roman"/>
          <w:b w:val="false"/>
          <w:i w:val="false"/>
          <w:color w:val="000000"/>
          <w:sz w:val="22"/>
        </w:rPr>
        <w:t>means all work performed in or about any mill in connection with storing of logs and bolts; converting logs or bolts into sawn lumber, laths, shingles, or cooperage stock; storing, drying, and shipping lumber, laths, shingles, cooperage stock, or other products of the mills and other work performed in connection with the operation of any sawmill, lath mill, shingle mill, or cooperage-stock mill. The term does not include work performed in the planing-mill department or other remanufacturing departments of any sawmill, or in any planing mill or remanufacturing plant not a part of a sawmill.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“Logging” </w:t>
      </w:r>
      <w:r>
        <w:rPr>
          <w:rFonts w:ascii="Times New Roman" w:hAnsi="Times New Roman"/>
          <w:b w:val="false"/>
          <w:i w:val="false"/>
          <w:color w:val="000000"/>
          <w:sz w:val="22"/>
        </w:rPr>
        <w:t>means all work performed in connection with the felling of timbers; the bucking or converting of timber into logs, poles, piles, ties, bolts, pulpwood, chemical wood, excelsior wood, cordwood, fence posts, or similar products; the collecting, skidding, yarding, loading, transporting and unloading of these products in connection with logging; the constructing, repairing and maintaining of roads, railroads, flumes, or camps used in connection with logging; the moving, installing, rigging, and maintenance of machinery or equipment used in logging; and other work performed in connection with logging. The term does not apply to work performed in timber culture, to timber-stand improvement, or in emergency firefighting.</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22">
        <w:r>
          <w:rPr>
            <w:rStyle w:val="Hyperlink"/>
            <w:rFonts w:ascii="Times New Roman" w:hAnsi="Times New Roman"/>
            <w:b w:val="false"/>
            <w:i w:val="false"/>
            <w:color w:val="000000"/>
            <w:sz w:val="22"/>
          </w:rPr>
          <w:t>92.8(2)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32.8(3)</w:t>
      </w:r>
      <w:r>
        <w:rPr>
          <w:rFonts w:ascii="Times New Roman" w:hAnsi="Times New Roman"/>
          <w:b w:val="false"/>
          <w:i w:val="false"/>
          <w:color w:val="000000"/>
          <w:sz w:val="22"/>
        </w:rPr>
        <w:t> </w:t>
      </w:r>
      <w:r>
        <w:rPr>
          <w:rFonts w:ascii="Times New Roman" w:hAnsi="Times New Roman"/>
          <w:b w:val="false"/>
          <w:i w:val="false"/>
          <w:color w:val="000000"/>
          <w:sz w:val="22"/>
        </w:rPr>
        <w:t>“Operation of power-driven woodworking machines” means operating power-driven woodworking machines, including supervision or controlling the operation of the machines, feeding material into the machines, and helping the operator to feed material into the machines, but not including the placing of material on a moving chain or in a hopper or slide for automatic feeding. Also included are activities of setting up, adjusting, repairing, oiling or cleaning power-driven woodworking machines and the operations of off-bearing from circular saws and from guillotine-action veneer clippers.</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“Off-bearing” </w:t>
      </w:r>
      <w:r>
        <w:rPr>
          <w:rFonts w:ascii="Times New Roman" w:hAnsi="Times New Roman"/>
          <w:b w:val="false"/>
          <w:i w:val="false"/>
          <w:color w:val="000000"/>
          <w:sz w:val="22"/>
        </w:rPr>
        <w:t>means the removal of material or refuse directly from a saw table or from the point of operation. Operations not considered as off-bearing within the intent of this subrule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removal of material or refuse from a circular saw or guillotine-action veneer clipper where the material or refuse has been conveyed away from the saw table or point of operation by a gravity chute or by some mechanical means such as a moving belt or expansion roller,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following operations when they do not involve the removal of material or refuse directly from a saw table or from the point of operation: the carrying, moving or transporting of materials from one machine to another or from one part of a plant to another; the piling, stacking, or arranging of materials for feeding into a machine by another person; and the sorting, tying, bundling or loading of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“Power-driven woodworking machines” </w:t>
      </w:r>
      <w:r>
        <w:rPr>
          <w:rFonts w:ascii="Times New Roman" w:hAnsi="Times New Roman"/>
          <w:b w:val="false"/>
          <w:i w:val="false"/>
          <w:color w:val="000000"/>
          <w:sz w:val="22"/>
        </w:rPr>
        <w:t>means all fixed or portable machines or tools driven by power and used or designed for cutting, shaping, forming, surfacing, nailing, stapling, wire stitching, fastening or otherwise assembling, pressing or printing wood or veneer.</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23">
        <w:r>
          <w:rPr>
            <w:rStyle w:val="Hyperlink"/>
            <w:rFonts w:ascii="Times New Roman" w:hAnsi="Times New Roman"/>
            <w:b w:val="false"/>
            <w:i w:val="false"/>
            <w:color w:val="000000"/>
            <w:sz w:val="22"/>
          </w:rPr>
          <w:t>92.8(3)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32.8(4)</w:t>
      </w:r>
      <w:r>
        <w:rPr>
          <w:rFonts w:ascii="Times New Roman" w:hAnsi="Times New Roman"/>
          <w:b w:val="false"/>
          <w:i w:val="false"/>
          <w:color w:val="000000"/>
          <w:sz w:val="22"/>
        </w:rPr>
        <w:t> </w:t>
      </w:r>
      <w:r>
        <w:rPr>
          <w:rFonts w:ascii="Times New Roman" w:hAnsi="Times New Roman"/>
          <w:b w:val="false"/>
          <w:i w:val="false"/>
          <w:color w:val="000000"/>
          <w:sz w:val="22"/>
        </w:rPr>
        <w:t>“Work activities involving exposure to radioactive substances and to ionizing radiations” means activity in any workroom in which radium is stored or used in the manufacture of self-luminous compound; self-luminous compound is made, processed or packaged; self-luminous compound is stored, used or worked upon; incandescent mantles are made from fabric and solutions containing thorium salts, or are processed or packaged; and other radioactive substances are present in the air in average concentrations exceeding 10 percent of the maximum permissible concentrations in the air recommended for occupational exposure by the National Committee on Radiation Protection, as set forth in the 40-hour week column of Table One of the National Bureau of Standards Handbook No. 69 entitled “Maximum Permissible Body Burdens and Maximum Permissible Concentrations of Radionuclides in Air and in Water for Occupational Exposure,” June 5, 1959.</w:t>
      </w:r>
    </w:p>
    <w:p>
      <w:pPr>
        <w:spacing w:before="0" w:after="0"/>
        <w:ind w:left="120"/>
        <w:jc w:val="both"/>
      </w:pPr>
      <w:r>
        <w:rPr>
          <w:rFonts w:ascii="Times New Roman" w:hAnsi="Times New Roman"/>
          <w:b w:val="false"/>
          <w:i w:val="false"/>
          <w:color w:val="000000"/>
          <w:sz w:val="22"/>
        </w:rPr>
        <w:t>Also included is any other work that involves exposure to ionizing radiations in excess of 0.5 rem per year.</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“Ionizing radiations” </w:t>
      </w:r>
      <w:r>
        <w:rPr>
          <w:rFonts w:ascii="Times New Roman" w:hAnsi="Times New Roman"/>
          <w:b w:val="false"/>
          <w:i w:val="false"/>
          <w:color w:val="000000"/>
          <w:sz w:val="22"/>
        </w:rPr>
        <w:t>means alpha and beta particles, electrons, protons, neutrons, gamma and X-ray and all other radiations that produce ionizations directly or indirectly, but does not include electromagnetic radiations other than gamma and X-ray.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“Self-luminous compound” </w:t>
      </w:r>
      <w:r>
        <w:rPr>
          <w:rFonts w:ascii="Times New Roman" w:hAnsi="Times New Roman"/>
          <w:b w:val="false"/>
          <w:i w:val="false"/>
          <w:color w:val="000000"/>
          <w:sz w:val="22"/>
        </w:rPr>
        <w:t>means any mixture of phosphorescent material and radium, mesothorium or other radioactive element.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“Workroom” </w:t>
      </w:r>
      <w:r>
        <w:rPr>
          <w:rFonts w:ascii="Times New Roman" w:hAnsi="Times New Roman"/>
          <w:b w:val="false"/>
          <w:i w:val="false"/>
          <w:color w:val="000000"/>
          <w:sz w:val="22"/>
        </w:rPr>
        <w:t>means the entire area bounded by walls of solid material and extending from floor to ceiling.</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24">
        <w:r>
          <w:rPr>
            <w:rStyle w:val="Hyperlink"/>
            <w:rFonts w:ascii="Times New Roman" w:hAnsi="Times New Roman"/>
            <w:b w:val="false"/>
            <w:i w:val="false"/>
            <w:color w:val="000000"/>
            <w:sz w:val="22"/>
          </w:rPr>
          <w:t>92.8(4)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32.8(5)</w:t>
      </w:r>
      <w:r>
        <w:rPr>
          <w:rFonts w:ascii="Times New Roman" w:hAnsi="Times New Roman"/>
          <w:b w:val="false"/>
          <w:i w:val="false"/>
          <w:color w:val="000000"/>
          <w:sz w:val="22"/>
        </w:rPr>
        <w:t> </w:t>
      </w:r>
      <w:r>
        <w:rPr>
          <w:rFonts w:ascii="Times New Roman" w:hAnsi="Times New Roman"/>
          <w:b w:val="false"/>
          <w:i w:val="false"/>
          <w:color w:val="000000"/>
          <w:sz w:val="22"/>
        </w:rPr>
        <w:t>“Operation of elevators and other power-driven hoisting apparatus”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Work of operating an elevator, crane, derrick, hoist, or high-lift truck, except operating an unattended automatic operation passenger elevator or an electric or air-operated hoist not exceeding one-ton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Work that involves riding on a manlift or on a freight elevator, except a freight elevator operated by an assigned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of assisting in the operation of a crane, derrick or hoist performed by crane hookers, crane chasers, hookers-on, riggers, rigger helpers, and like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Exception. Iowa Code section </w:t>
      </w:r>
      <w:hyperlink r:id="rId25">
        <w:r>
          <w:rPr>
            <w:rStyle w:val="Hyperlink"/>
            <w:rFonts w:ascii="Times New Roman" w:hAnsi="Times New Roman"/>
            <w:b w:val="false"/>
            <w:i w:val="false"/>
            <w:color w:val="000000"/>
            <w:sz w:val="22"/>
          </w:rPr>
          <w:t>92.8(5)</w:t>
        </w:r>
      </w:hyperlink>
      <w:r>
        <w:rPr>
          <w:rFonts w:ascii="Times New Roman" w:hAnsi="Times New Roman"/>
          <w:b w:val="false"/>
          <w:i w:val="false"/>
          <w:color w:val="000000"/>
          <w:sz w:val="22"/>
        </w:rPr>
        <w:t xml:space="preserve"> does not prohibit the operation of an automatic elevator and an automatic signal operation elevator provided that the exposed portion of the car interior (exclusive of vents and other necessary small openings), the car door and the hoistway doors are constructed of solid surfaces without any opening through which a part of the body may extend; all hoistway openings at floor level have doors that are interlocked with the car door so as to prevent the car from starting until all doors are closed and locked; the elevator (other than hydraulic elevators) is equipped with a device that will stop and hold the car in case of overspeed or if the cable slackens or breaks; and the elevator is equipped with upper and lower travel limit devices that will normally bring the car to rest at either terminal and a final limit switch that will prevent the movement in either direction and will open in case of excessive over-travel by the car.</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“Automatic elevator” </w:t>
      </w:r>
      <w:r>
        <w:rPr>
          <w:rFonts w:ascii="Times New Roman" w:hAnsi="Times New Roman"/>
          <w:b w:val="false"/>
          <w:i w:val="false"/>
          <w:color w:val="000000"/>
          <w:sz w:val="22"/>
        </w:rPr>
        <w:t>means any passenger elevator, a freight elevator or a combination passenger-freight elevator, the operation of which is controlled by push buttons in a manner that the starting, going to the landing selected, leveling and holding, and the opening and closing of the car and hoistway doors are entirely automatic.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“Automatic signal operation elevator” </w:t>
      </w:r>
      <w:r>
        <w:rPr>
          <w:rFonts w:ascii="Times New Roman" w:hAnsi="Times New Roman"/>
          <w:b w:val="false"/>
          <w:i w:val="false"/>
          <w:color w:val="000000"/>
          <w:sz w:val="22"/>
        </w:rPr>
        <w:t>means an elevator that is started in response to the operation of a switch (such as a lever or push button) in the car that when operated by the operator actuates a starting device that automatically closes the car and hoistway doors—from this point on, the movement of the car to the landing selected, leveling and holding when it gets there, and the opening of the car and hoistway doors are entirely automatic.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“Crane” </w:t>
      </w:r>
      <w:r>
        <w:rPr>
          <w:rFonts w:ascii="Times New Roman" w:hAnsi="Times New Roman"/>
          <w:b w:val="false"/>
          <w:i w:val="false"/>
          <w:color w:val="000000"/>
          <w:sz w:val="22"/>
        </w:rPr>
        <w:t>means any power-driven machine for lifting and lowering a load and moving it horizontally, in which the hoisting mechanism is an integral part of the machine. The term includes all types of cranes, such as cantilever gantry, crawler, gantry, hammerhead, ingot pouring, jib, locomotive, motor truck, overhead traveling, pillar jib, pintle, portal, semigantry, semiportal, storage bridge, tower, walking jib, and wall cranes.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“Derrick” </w:t>
      </w:r>
      <w:r>
        <w:rPr>
          <w:rFonts w:ascii="Times New Roman" w:hAnsi="Times New Roman"/>
          <w:b w:val="false"/>
          <w:i w:val="false"/>
          <w:color w:val="000000"/>
          <w:sz w:val="22"/>
        </w:rPr>
        <w:t>means any power-driven apparatus consisting of a mast or equivalent members held at the top by guys or braces, with or without a boom, for use with a hoisting mechanism or operating ropes. The term includes all types of derricks, such as A-frame, breast, Chicago boom, gin-pole, guy and stiff-leg derrick.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“Elevator” </w:t>
      </w:r>
      <w:r>
        <w:rPr>
          <w:rFonts w:ascii="Times New Roman" w:hAnsi="Times New Roman"/>
          <w:b w:val="false"/>
          <w:i w:val="false"/>
          <w:color w:val="000000"/>
          <w:sz w:val="22"/>
        </w:rPr>
        <w:t>means any power-driven hoisting or lowering mechanism equipped with a car or platform that moves in guides in a substantially vertical direction. The term includes both passenger and freight elevators (including portable elevators or tiering machines) but does not include dumbwaiters.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“High-lift truck” </w:t>
      </w:r>
      <w:r>
        <w:rPr>
          <w:rFonts w:ascii="Times New Roman" w:hAnsi="Times New Roman"/>
          <w:b w:val="false"/>
          <w:i w:val="false"/>
          <w:color w:val="000000"/>
          <w:sz w:val="22"/>
        </w:rPr>
        <w:t>means any power-driven industrial type of truck used for lateral transportation that is equipped with a power-operated lifting device usually in the form of a fork or platform capable of tiering loaded pallets or skids one above the other. Instead of a fork or platform, the lifting device may consist of a ram, scoop, shovel, crane, revolving fork, or other attachments for handling specific loads. The term means and includes high-lift trucks known as fork lifts, fork trucks, fork-lift trucks, tiering trucks, or stacking trucks, but does not mean low-lift trucks or low-lift platform trucks that are designed for the transportation of, but not the tiering of,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“Hoist” </w:t>
      </w:r>
      <w:r>
        <w:rPr>
          <w:rFonts w:ascii="Times New Roman" w:hAnsi="Times New Roman"/>
          <w:b w:val="false"/>
          <w:i w:val="false"/>
          <w:color w:val="000000"/>
          <w:sz w:val="22"/>
        </w:rPr>
        <w:t>means any power-driven apparatus for raising or lowering a load by the application of a pulling force that does not include a car or platform running in guides. The term includes all types of hoists, such as base-mounted electric, clevis suspension, hook suspension, monorail, overhead electric, simple drum and trolley suspension hoists.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“Manlift” </w:t>
      </w:r>
      <w:r>
        <w:rPr>
          <w:rFonts w:ascii="Times New Roman" w:hAnsi="Times New Roman"/>
          <w:b w:val="false"/>
          <w:i w:val="false"/>
          <w:color w:val="000000"/>
          <w:sz w:val="22"/>
        </w:rPr>
        <w:t>means any device intended for the conveyance of persons that consists of platforms or brackets mounted on, or attached to, an endless belt, cable, chain or similar method of suspension; the belt, cable or chain operating in a substantially vertical direction and being supported by and driven through pulleys, sheaves or sprockets at the top and bottom.</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26">
        <w:r>
          <w:rPr>
            <w:rStyle w:val="Hyperlink"/>
            <w:rFonts w:ascii="Times New Roman" w:hAnsi="Times New Roman"/>
            <w:b w:val="false"/>
            <w:i w:val="false"/>
            <w:color w:val="000000"/>
            <w:sz w:val="22"/>
          </w:rPr>
          <w:t>92.8(5)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32.8(6)</w:t>
      </w:r>
      <w:r>
        <w:rPr>
          <w:rFonts w:ascii="Times New Roman" w:hAnsi="Times New Roman"/>
          <w:b w:val="false"/>
          <w:i w:val="false"/>
          <w:color w:val="000000"/>
          <w:sz w:val="22"/>
        </w:rPr>
        <w:t> </w:t>
      </w:r>
      <w:r>
        <w:rPr>
          <w:rFonts w:ascii="Times New Roman" w:hAnsi="Times New Roman"/>
          <w:b w:val="false"/>
          <w:i w:val="false"/>
          <w:color w:val="000000"/>
          <w:sz w:val="22"/>
        </w:rPr>
        <w:t>“Operation of power-driven metal forming, punching and shearing machines” means being the operator of or helper on the following power-driven metal forming, punching, and shearing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rolling machines, such as beading, straightening, corrugating, flanging, or bending rolls; and hot or cold rolling mills.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pressing or punching machines, such as punch presses, except those provided with full automatic feed and ejection and with a fixed barrier guard to prevent the hands or fingers of the operator from entering the area between the dies; power presses; and plate punches.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bending machines, such as apron brakes and press brakes.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hammering machines, such as drop hammers and power hammers.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shearing machines, such as guillotine or squaring shears, alligator shears and rotary shears.</w:t>
      </w:r>
    </w:p>
    <w:p>
      <w:pPr>
        <w:spacing w:before="0" w:after="0"/>
        <w:ind w:left="120"/>
        <w:jc w:val="both"/>
      </w:pPr>
      <w:r>
        <w:rPr>
          <w:rFonts w:ascii="Times New Roman" w:hAnsi="Times New Roman"/>
          <w:b w:val="false"/>
          <w:i w:val="false"/>
          <w:color w:val="000000"/>
          <w:sz w:val="22"/>
        </w:rPr>
        <w:t>Also included are the occupations of setting up, adjusting, repairing, oiling, or cleaning these machines including those with automatic feed and ejection.</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“Forming, punching and shearing machines” </w:t>
      </w:r>
      <w:r>
        <w:rPr>
          <w:rFonts w:ascii="Times New Roman" w:hAnsi="Times New Roman"/>
          <w:b w:val="false"/>
          <w:i w:val="false"/>
          <w:color w:val="000000"/>
          <w:sz w:val="22"/>
        </w:rPr>
        <w:t>means power-driven metal-working machines, other than machine tools, that change the shape of or cut metal by means of tools, such as dies, rolls or knives that are mounted on rams, plungers or other moving parts. Types of forming, punching, and shearing machines enumerated in this subrule are the machines to which the designation is by custom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“Helper” </w:t>
      </w:r>
      <w:r>
        <w:rPr>
          <w:rFonts w:ascii="Times New Roman" w:hAnsi="Times New Roman"/>
          <w:b w:val="false"/>
          <w:i w:val="false"/>
          <w:color w:val="000000"/>
          <w:sz w:val="22"/>
        </w:rPr>
        <w:t>means a person who assists in the operation of a machine covered by this subrule by helping place materials into or remove them from the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means a person who operates a machine covered by this subrule by performing functions such as starting or stopping the machine, placing materials into or removing them from the machine, or any other functions directly involved in operation of the machine.</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27">
        <w:r>
          <w:rPr>
            <w:rStyle w:val="Hyperlink"/>
            <w:rFonts w:ascii="Times New Roman" w:hAnsi="Times New Roman"/>
            <w:b w:val="false"/>
            <w:i w:val="false"/>
            <w:color w:val="000000"/>
            <w:sz w:val="22"/>
          </w:rPr>
          <w:t>92.8(6)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32.8(7)</w:t>
      </w:r>
      <w:r>
        <w:rPr>
          <w:rFonts w:ascii="Times New Roman" w:hAnsi="Times New Roman"/>
          <w:b w:val="false"/>
          <w:i w:val="false"/>
          <w:color w:val="000000"/>
          <w:sz w:val="22"/>
        </w:rPr>
        <w:t> </w:t>
      </w:r>
      <w:r>
        <w:rPr>
          <w:rFonts w:ascii="Times New Roman" w:hAnsi="Times New Roman"/>
          <w:b w:val="false"/>
          <w:i w:val="false"/>
          <w:color w:val="000000"/>
          <w:sz w:val="22"/>
        </w:rPr>
        <w:t>“Mining” means all work performed underground in mines and quarries; in an underground working, open-pit, or surface part of any coal-mining plant that contribute to the extraction, grading, cleaning, or other handling of coal; on the surface at underground mines and underground quarries; in or about open-cut mines, open quarries, clay pits, and sand and gravel operations; at or about placer mining operations; at or about dredging operations for clay, sand or gravel; at or about bore-hole mining operations; in or about all metal mills, washer plants, or grinding mills reducing the bulk of the extracted minerals; and at or about any other crushing, grinding, screening, sizing, washing or cleaning operations performed upon the extracted minerals except where the operations are performed as a part of a manufacturing process.</w:t>
      </w:r>
    </w:p>
    <w:p>
      <w:pPr>
        <w:spacing w:before="0" w:after="0"/>
        <w:ind w:left="120"/>
        <w:jc w:val="both"/>
      </w:pPr>
      <w:r>
        <w:rPr>
          <w:rFonts w:ascii="Times New Roman" w:hAnsi="Times New Roman"/>
          <w:b w:val="false"/>
          <w:i w:val="false"/>
          <w:color w:val="000000"/>
          <w:sz w:val="22"/>
        </w:rPr>
        <w:t>The term “mining” does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Work performed in subsequent manufacturing or processing operations, such as work performed in smelters; electro-metallurgical plants; refineries; reduction plants; cement mills; plants where quarried stone is cut, sanded and further processed; or plants manufacturing clay, glass or ceramic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Work performed in connection with petroleum production, in natural gas production, or in dredging operations that are not a part of mining operations, such as dredging for construction or navigation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in offices, in the warehouse or supply house, in the change house, in the laboratory, and in repair or maintenance shops not located underground.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Work in the operation and maintenance of living 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Work outside the mine in surveying, in the repair and maintenance of roads, and in general cleanup about the mine property such as clearing brush and digging drainage ditches.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Work of track crews in the building and maintaining of sections of railroad track located in those areas of open-cut metal mines where mining and haulage activities are not being conducted at the time and place that the building and maintenance work is being done.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Work in or about surface placer mining operations other than placer dredging operations and hydraulic placer mining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Work in metal mills other than in mercury-recovery mills or mills using the cyanide process involving the operation of jigs, sludge tables, flotation cells, or drier-filters; hand-sorting at picking table or picking belts; or general cleanup.</w:t>
      </w:r>
    </w:p>
    <w:p>
      <w:pPr>
        <w:spacing w:before="0" w:after="0"/>
        <w:ind w:left="120"/>
        <w:jc w:val="both"/>
      </w:pPr>
      <w:r>
        <w:rPr>
          <w:rFonts w:ascii="Times New Roman" w:hAnsi="Times New Roman"/>
          <w:b w:val="false"/>
          <w:i w:val="false"/>
          <w:color w:val="000000"/>
          <w:sz w:val="22"/>
        </w:rPr>
        <w:t xml:space="preserve">Nothing in this subrule permits any employment of minors in any other activity otherwise prohibited by Iowa Code chapter </w:t>
      </w:r>
      <w:hyperlink r:id="rId28">
        <w:r>
          <w:rPr>
            <w:rStyle w:val="Hyperlink"/>
            <w:rFonts w:ascii="Times New Roman" w:hAnsi="Times New Roman"/>
            <w:b w:val="false"/>
            <w:i w:val="false"/>
            <w:color w:val="000000"/>
            <w:sz w:val="22"/>
          </w:rPr>
          <w:t>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29">
        <w:r>
          <w:rPr>
            <w:rStyle w:val="Hyperlink"/>
            <w:rFonts w:ascii="Times New Roman" w:hAnsi="Times New Roman"/>
            <w:b w:val="false"/>
            <w:i w:val="false"/>
            <w:color w:val="000000"/>
            <w:sz w:val="22"/>
          </w:rPr>
          <w:t>92.8(7)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32.8(8)</w:t>
      </w:r>
      <w:r>
        <w:rPr>
          <w:rFonts w:ascii="Times New Roman" w:hAnsi="Times New Roman"/>
          <w:b w:val="false"/>
          <w:i w:val="false"/>
          <w:color w:val="000000"/>
          <w:sz w:val="22"/>
        </w:rPr>
        <w:t> </w:t>
      </w:r>
      <w:r>
        <w:rPr>
          <w:rFonts w:ascii="Times New Roman" w:hAnsi="Times New Roman"/>
          <w:b w:val="false"/>
          <w:i w:val="false"/>
          <w:color w:val="000000"/>
          <w:sz w:val="22"/>
        </w:rPr>
        <w:t>“Work activities in or about slaughtering and meat packing establishments and rendering plants”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activities on the killing floor, in curing cellars, and in hide cellars, except the work of messengers, runners, hand truckers and similar activities that require entering workrooms or workplaces infrequently and for short periods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recovery of lard and oils, except packaging and shipping of the products and the operation of lard-roll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tankage or rendering of dead animals, animal offal, animal fats, scrap meats, blood, and bones into stock feeds, tallow, inedible greases, fertilizer ingredients, and similar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operation or feeding of the following power-driven meat processing machines, including setting up, adjusting, repairing, oiling, or cleaning the machines regardless of the product being processed by these machines (including, for example, the slicing in a retail delicatessen of meat, poultry, seafood, bread, vegetables, or cheese):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Meat patty forming machines, meat and bone cutting saws, knives (except bacon-slicing machines), head splitters, and guillotine cutters;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Snout pullers and jaw pullers;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Skinning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Horizontal rotary washing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Casing-cleaning machines such as crushing, stripping, and finishing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Grinding, mixing, chopping, and hashing machines;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Presses (except belly-rolling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boning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activities involving the pushing or dropping of any suspended carcass, half carcass, or quarter carcass.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activities involving hand-lifting or hand-carrying any carcass or half carcass of beef, pork, or horse or any quarter carcass of beef or horse.</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“Boning” </w:t>
      </w:r>
      <w:r>
        <w:rPr>
          <w:rFonts w:ascii="Times New Roman" w:hAnsi="Times New Roman"/>
          <w:b w:val="false"/>
          <w:i w:val="false"/>
          <w:color w:val="000000"/>
          <w:sz w:val="22"/>
        </w:rPr>
        <w:t>means the removal of bones from meat cuts. It does not include cutting, scraping or trimming meat from cuts containing bones.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“Curing cellar” </w:t>
      </w:r>
      <w:r>
        <w:rPr>
          <w:rFonts w:ascii="Times New Roman" w:hAnsi="Times New Roman"/>
          <w:b w:val="false"/>
          <w:i w:val="false"/>
          <w:color w:val="000000"/>
          <w:sz w:val="22"/>
        </w:rPr>
        <w:t>means the workroom or workplace that is primarily devoted to the preservation and flavoring of meat by curing materials. It does not include the workroom or workplace where meats are smoked.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“Hide cellar” </w:t>
      </w:r>
      <w:r>
        <w:rPr>
          <w:rFonts w:ascii="Times New Roman" w:hAnsi="Times New Roman"/>
          <w:b w:val="false"/>
          <w:i w:val="false"/>
          <w:color w:val="000000"/>
          <w:sz w:val="22"/>
        </w:rPr>
        <w:t>means the workroom or workplace where hides are graded, trimmed, salted, and otherwise cured.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“Killing floor” </w:t>
      </w:r>
      <w:r>
        <w:rPr>
          <w:rFonts w:ascii="Times New Roman" w:hAnsi="Times New Roman"/>
          <w:b w:val="false"/>
          <w:i w:val="false"/>
          <w:color w:val="000000"/>
          <w:sz w:val="22"/>
        </w:rPr>
        <w:t>means the workroom or workplace where cattle, calves, hogs, sheep, lambs, goats, or horses are immobilized, shackled, or killed and the carcasses are dressed prior to chilling.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“Rendering plants” </w:t>
      </w:r>
      <w:r>
        <w:rPr>
          <w:rFonts w:ascii="Times New Roman" w:hAnsi="Times New Roman"/>
          <w:b w:val="false"/>
          <w:i w:val="false"/>
          <w:color w:val="000000"/>
          <w:sz w:val="22"/>
        </w:rPr>
        <w:t>means establishments engaged in the conversion of dead animals, animal offal, animal fats, scrap meats, blood, and bones into stock feeds, tallow, inedible greases, fertilizer ingredients and similar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“Slaughtering and meat packing establishments” </w:t>
      </w:r>
      <w:r>
        <w:rPr>
          <w:rFonts w:ascii="Times New Roman" w:hAnsi="Times New Roman"/>
          <w:b w:val="false"/>
          <w:i w:val="false"/>
          <w:color w:val="000000"/>
          <w:sz w:val="22"/>
        </w:rPr>
        <w:t>means places in or about which cattle, calves, hogs, sheep, lambs, goats, or horses, poultry, rabbits or small game are killed, processed or butchered and establishments that manufacture or process meat products or sausage casings from these animals.</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0">
        <w:r>
          <w:rPr>
            <w:rStyle w:val="Hyperlink"/>
            <w:rFonts w:ascii="Times New Roman" w:hAnsi="Times New Roman"/>
            <w:b w:val="false"/>
            <w:i w:val="false"/>
            <w:color w:val="000000"/>
            <w:sz w:val="22"/>
          </w:rPr>
          <w:t>92.8(8)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32.8(9)</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“Operation of certain power-driven bakery machines” means operating, assisting to operate or setting up, adjusting, repairing, oiling, or cleaning any horizontal or vertical dough mixer; batter mixer; bread dividing, rounding, or molding machine; dough brake; dough sheeter; combination bread slicing and wrapping machines; or cake cutting band saw and setting up or adjusting a cookie or cracker machine. However, this definition does not apply to the operation of pizza dough rollers that are a type of dough sheeter that have been constructed with safeguards contained in the basic design so as to prevent fingers, hands, or clothing from being caught in the in-running point of the rollers, that have gears that are completely enclosed, and that have microswitches that disengage the machinery if the backs or sides of the rollers are removed, only when all the safeguards detailed in Iowa Code section </w:t>
      </w:r>
      <w:hyperlink r:id="rId31">
        <w:r>
          <w:rPr>
            <w:rStyle w:val="Hyperlink"/>
            <w:rFonts w:ascii="Times New Roman" w:hAnsi="Times New Roman"/>
            <w:b w:val="false"/>
            <w:i w:val="false"/>
            <w:color w:val="000000"/>
            <w:sz w:val="22"/>
          </w:rPr>
          <w:t>92.8(9)</w:t>
        </w:r>
      </w:hyperlink>
      <w:r>
        <w:rPr>
          <w:rFonts w:ascii="Times New Roman" w:hAnsi="Times New Roman"/>
          <w:b w:val="false"/>
          <w:i w:val="false"/>
          <w:color w:val="000000"/>
          <w:sz w:val="22"/>
        </w:rPr>
        <w:t xml:space="preserve"> are present on the machinery, are operational, and have not been overridden.</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2">
        <w:r>
          <w:rPr>
            <w:rStyle w:val="Hyperlink"/>
            <w:rFonts w:ascii="Times New Roman" w:hAnsi="Times New Roman"/>
            <w:b w:val="false"/>
            <w:i w:val="false"/>
            <w:color w:val="000000"/>
            <w:sz w:val="22"/>
          </w:rPr>
          <w:t>92.8(9)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32.8(10)</w:t>
      </w:r>
      <w:r>
        <w:rPr>
          <w:rFonts w:ascii="Times New Roman" w:hAnsi="Times New Roman"/>
          <w:b w:val="false"/>
          <w:i w:val="false"/>
          <w:color w:val="000000"/>
          <w:sz w:val="22"/>
        </w:rPr>
        <w:t> </w:t>
      </w:r>
      <w:r>
        <w:rPr>
          <w:rFonts w:ascii="Times New Roman" w:hAnsi="Times New Roman"/>
          <w:b w:val="false"/>
          <w:i w:val="false"/>
          <w:color w:val="000000"/>
          <w:sz w:val="22"/>
        </w:rPr>
        <w:t>“Operation of paper-products machines” means operating or assisting to operate any of the following power-driven paper-products machines and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arm-type wire stitcher or stapler, circular or band saw, corner cutter or mitering machine, corrugating and single- or double-facing machine, envelope die-cutting press, guillotine paper cutter or shear, horizontal bar scorer, laminating or combining machine, sheeting machine, scrap-paper baler, or vertical slotter.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platen die-cutting press, platen printing press, or punch press that involves hand feeding of the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activities of setting up, adjusting, repairing, oiling, or cleaning the machines in paragraphs </w:t>
      </w:r>
      <w:r>
        <w:rPr>
          <w:rFonts w:ascii="Times New Roman" w:hAnsi="Times New Roman"/>
          <w:b w:val="false"/>
          <w:i w:val="false"/>
          <w:color w:val="000000"/>
          <w:sz w:val="22"/>
        </w:rPr>
        <w:t>32.8(10)</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including those that do not involve hand feeding.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Loading material into paper/cardboard balers, except when the machine is powered off and the key is stored in a separate area from the machine.</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“Operating or assisting to operate” </w:t>
      </w:r>
      <w:r>
        <w:rPr>
          <w:rFonts w:ascii="Times New Roman" w:hAnsi="Times New Roman"/>
          <w:b w:val="false"/>
          <w:i w:val="false"/>
          <w:color w:val="000000"/>
          <w:sz w:val="22"/>
        </w:rPr>
        <w:t>means all work that involves starting or stopping a machine covered by this subrule, placing materials into or removing them from the machine, or any other work directly involved in operating the machine except loading material into balers when the machine is powered off and the key is stored in a separate area from the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“Paper-products machine” </w:t>
      </w:r>
      <w:r>
        <w:rPr>
          <w:rFonts w:ascii="Times New Roman" w:hAnsi="Times New Roman"/>
          <w:b w:val="false"/>
          <w:i w:val="false"/>
          <w:color w:val="000000"/>
          <w:sz w:val="22"/>
        </w:rPr>
        <w:t>means power-driven machines used in: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remanufacture or conversion of paper or pulp into a finished product, including the preparation of materials for recycling.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preparation of materials for disposal. The term applies to the machines whether they are used in establishments that manufacture converted paper or pulp products, or in any other type of manufacturing or nonmanufacturing establishments.</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3">
        <w:r>
          <w:rPr>
            <w:rStyle w:val="Hyperlink"/>
            <w:rFonts w:ascii="Times New Roman" w:hAnsi="Times New Roman"/>
            <w:b w:val="false"/>
            <w:i w:val="false"/>
            <w:color w:val="000000"/>
            <w:sz w:val="22"/>
          </w:rPr>
          <w:t>92.8(10)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32.8(11)</w:t>
      </w:r>
      <w:r>
        <w:rPr>
          <w:rFonts w:ascii="Times New Roman" w:hAnsi="Times New Roman"/>
          <w:b w:val="false"/>
          <w:i w:val="false"/>
          <w:color w:val="000000"/>
          <w:sz w:val="22"/>
        </w:rPr>
        <w:t> </w:t>
      </w:r>
      <w:r>
        <w:rPr>
          <w:rFonts w:ascii="Times New Roman" w:hAnsi="Times New Roman"/>
          <w:b w:val="false"/>
          <w:i w:val="false"/>
          <w:color w:val="000000"/>
          <w:sz w:val="22"/>
        </w:rPr>
        <w:t>“Manufacturing brick, tile and related products” means the manufacture of brick, tile and related products; includes the manufacture of clay construction products and of silica refractory products; and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work in or about establishments in which clay construction products are manufactured, except work in storage and shippings; work in offices, laboratories, and storerooms; and work in the drying departments of plants manufacturing sewer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work in or about establishments in which silica brick or other silica refractories are manufactured, except work in offices.</w:t>
      </w:r>
    </w:p>
    <w:p>
      <w:pPr>
        <w:spacing w:before="0" w:after="0"/>
        <w:ind w:left="120"/>
        <w:jc w:val="both"/>
      </w:pPr>
      <w:r>
        <w:rPr>
          <w:rFonts w:ascii="Times New Roman" w:hAnsi="Times New Roman"/>
          <w:b w:val="false"/>
          <w:i w:val="false"/>
          <w:color w:val="000000"/>
          <w:sz w:val="22"/>
        </w:rPr>
        <w:t xml:space="preserve">Nothing in this subrule permits any employment of minors in any other activities otherwise prohibited by Iowa Code chapter </w:t>
      </w:r>
      <w:hyperlink r:id="rId34">
        <w:r>
          <w:rPr>
            <w:rStyle w:val="Hyperlink"/>
            <w:rFonts w:ascii="Times New Roman" w:hAnsi="Times New Roman"/>
            <w:b w:val="false"/>
            <w:i w:val="false"/>
            <w:color w:val="000000"/>
            <w:sz w:val="22"/>
          </w:rPr>
          <w:t>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“Clay construction products” </w:t>
      </w:r>
      <w:r>
        <w:rPr>
          <w:rFonts w:ascii="Times New Roman" w:hAnsi="Times New Roman"/>
          <w:b w:val="false"/>
          <w:i w:val="false"/>
          <w:color w:val="000000"/>
          <w:sz w:val="22"/>
        </w:rPr>
        <w:t>means brick, hollow structural tile, sewer pipe and kindred products, refractories, and other clay products such as architectural terra cotta, glazed structural tile, roofing tile, stove lining, chimney pipes and tops, wall coping, and drain tile. It does not include nonstructural-bearing clay products such as ceramic floor and wall tile, mosaic tile, glazed and enameled tile, faience, and similar tile, nor nonclay construction products such as sand-lime brick, glass brick, or nonclay refractories.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“Silica brick or other silica refractories” </w:t>
      </w:r>
      <w:r>
        <w:rPr>
          <w:rFonts w:ascii="Times New Roman" w:hAnsi="Times New Roman"/>
          <w:b w:val="false"/>
          <w:i w:val="false"/>
          <w:color w:val="000000"/>
          <w:sz w:val="22"/>
        </w:rPr>
        <w:t>means refractory products produced from raw materials containing free silica as its main constituent.</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5">
        <w:r>
          <w:rPr>
            <w:rStyle w:val="Hyperlink"/>
            <w:rFonts w:ascii="Times New Roman" w:hAnsi="Times New Roman"/>
            <w:b w:val="false"/>
            <w:i w:val="false"/>
            <w:color w:val="000000"/>
            <w:sz w:val="22"/>
          </w:rPr>
          <w:t>92.8(11)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32.8(12)</w:t>
      </w:r>
      <w:r>
        <w:rPr>
          <w:rFonts w:ascii="Times New Roman" w:hAnsi="Times New Roman"/>
          <w:b w:val="false"/>
          <w:i w:val="false"/>
          <w:color w:val="000000"/>
          <w:sz w:val="22"/>
        </w:rPr>
        <w:t> </w:t>
      </w:r>
      <w:r>
        <w:rPr>
          <w:rFonts w:ascii="Times New Roman" w:hAnsi="Times New Roman"/>
          <w:b w:val="false"/>
          <w:i w:val="false"/>
          <w:color w:val="000000"/>
          <w:sz w:val="22"/>
        </w:rPr>
        <w:t>“Operation of circular saws, band saws, and guillotine shears”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Operator of or helper on power-driven fixed or portable circular saws, band saws, and guillotine shears except machines equipped with full automatic feed and ejection.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Setting up, adjusting, repairing, oiling, or cleaning circular saws, band saws, or guillotine shears.</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“Band saw” </w:t>
      </w:r>
      <w:r>
        <w:rPr>
          <w:rFonts w:ascii="Times New Roman" w:hAnsi="Times New Roman"/>
          <w:b w:val="false"/>
          <w:i w:val="false"/>
          <w:color w:val="000000"/>
          <w:sz w:val="22"/>
        </w:rPr>
        <w:t>means a machine equipped with an endless steel band having a continuous series of notches or teeth, running over wheels or pulleys, and used for sawing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“Circular saw” </w:t>
      </w:r>
      <w:r>
        <w:rPr>
          <w:rFonts w:ascii="Times New Roman" w:hAnsi="Times New Roman"/>
          <w:b w:val="false"/>
          <w:i w:val="false"/>
          <w:color w:val="000000"/>
          <w:sz w:val="22"/>
        </w:rPr>
        <w:t>means a machine equipped with an endless steel disc and having a continuous series of notches or teeth on the periphery, mounted on shafting, and used for sawing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“Guillotine shear” </w:t>
      </w:r>
      <w:r>
        <w:rPr>
          <w:rFonts w:ascii="Times New Roman" w:hAnsi="Times New Roman"/>
          <w:b w:val="false"/>
          <w:i w:val="false"/>
          <w:color w:val="000000"/>
          <w:sz w:val="22"/>
        </w:rPr>
        <w:t>means a machine equipped with a movable blade operated vertically and used to shear materials. The term does not include other types of shearing machines using a different form of shearing action, such as alligator shears or circular shears.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“Helper” </w:t>
      </w:r>
      <w:r>
        <w:rPr>
          <w:rFonts w:ascii="Times New Roman" w:hAnsi="Times New Roman"/>
          <w:b w:val="false"/>
          <w:i w:val="false"/>
          <w:color w:val="000000"/>
          <w:sz w:val="22"/>
        </w:rPr>
        <w:t>means a person who assists in the operation of a machine covered by this subrule by helping place materials into or remove materials from the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“Machines equipped with full automatic feed and ejection” </w:t>
      </w:r>
      <w:r>
        <w:rPr>
          <w:rFonts w:ascii="Times New Roman" w:hAnsi="Times New Roman"/>
          <w:b w:val="false"/>
          <w:i w:val="false"/>
          <w:color w:val="000000"/>
          <w:sz w:val="22"/>
        </w:rPr>
        <w:t>means machines covered by this subrule that are equipped with devices for full automatic feeding and ejection and with a fixed barrier guard to prevent completely the operator or helper from placing any body part in the point-of-operation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means a person who operates a machine covered by this subrule by performing functions such as starting or stopping the machine, placing materials into or removing materials from the machine, or any other function directly involved in the operation of the machine.</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6">
        <w:r>
          <w:rPr>
            <w:rStyle w:val="Hyperlink"/>
            <w:rFonts w:ascii="Times New Roman" w:hAnsi="Times New Roman"/>
            <w:b w:val="false"/>
            <w:i w:val="false"/>
            <w:color w:val="000000"/>
            <w:sz w:val="22"/>
          </w:rPr>
          <w:t>92.8(12)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32.8(13)</w:t>
      </w:r>
      <w:r>
        <w:rPr>
          <w:rFonts w:ascii="Times New Roman" w:hAnsi="Times New Roman"/>
          <w:b w:val="false"/>
          <w:i w:val="false"/>
          <w:color w:val="000000"/>
          <w:sz w:val="22"/>
        </w:rPr>
        <w:t> </w:t>
      </w:r>
      <w:r>
        <w:rPr>
          <w:rFonts w:ascii="Times New Roman" w:hAnsi="Times New Roman"/>
          <w:b w:val="false"/>
          <w:i w:val="false"/>
          <w:color w:val="000000"/>
          <w:sz w:val="22"/>
        </w:rPr>
        <w:t>“Wrecking, demolition and shipbreaking operations” means all work, including cleanup and salvage work, performed at the site of the total or partial razing, demolishing, or dismantling of a building, bridge, steeple, tower, chimney, other structure, ship or other vessel.</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7">
        <w:r>
          <w:rPr>
            <w:rStyle w:val="Hyperlink"/>
            <w:rFonts w:ascii="Times New Roman" w:hAnsi="Times New Roman"/>
            <w:b w:val="false"/>
            <w:i w:val="false"/>
            <w:color w:val="000000"/>
            <w:sz w:val="22"/>
          </w:rPr>
          <w:t>92.8(13)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32.8(14)</w:t>
      </w:r>
      <w:r>
        <w:rPr>
          <w:rFonts w:ascii="Times New Roman" w:hAnsi="Times New Roman"/>
          <w:b w:val="false"/>
          <w:i w:val="false"/>
          <w:color w:val="000000"/>
          <w:sz w:val="22"/>
        </w:rPr>
        <w:t> </w:t>
      </w:r>
      <w:r>
        <w:rPr>
          <w:rFonts w:ascii="Times New Roman" w:hAnsi="Times New Roman"/>
          <w:b w:val="false"/>
          <w:i w:val="false"/>
          <w:color w:val="000000"/>
          <w:sz w:val="22"/>
        </w:rPr>
        <w:t>“Roofing operations” means all work performed in connection with the application of weatherproofing materials and substances (such as tar or pitch; asphalt prepared paper; tile; slate; metal; translucent materials; and shingles of asbestos, asphalt or wood) to roofs of buildings or other structures. The term also includes all work performed in connection with the installation of roofs, including related metal work such as flashing; and alterations, additions, maintenance and repair, including painting and coating, of existing roofs. The term does not include gutter and downspout work; the construction of the sheathing or base of roofs; or the installation of television antennas, air conditioners, exhaust and ventilating equipment or similar appliances attached to roofs.</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8">
        <w:r>
          <w:rPr>
            <w:rStyle w:val="Hyperlink"/>
            <w:rFonts w:ascii="Times New Roman" w:hAnsi="Times New Roman"/>
            <w:b w:val="false"/>
            <w:i w:val="false"/>
            <w:color w:val="000000"/>
            <w:sz w:val="22"/>
          </w:rPr>
          <w:t>92.8(14)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32.8(15)</w:t>
      </w:r>
      <w:r>
        <w:rPr>
          <w:rFonts w:ascii="Times New Roman" w:hAnsi="Times New Roman"/>
          <w:b w:val="false"/>
          <w:i w:val="false"/>
          <w:color w:val="000000"/>
          <w:sz w:val="22"/>
        </w:rPr>
        <w:t> </w:t>
      </w:r>
      <w:r>
        <w:rPr>
          <w:rFonts w:ascii="Times New Roman" w:hAnsi="Times New Roman"/>
          <w:b w:val="false"/>
          <w:i w:val="false"/>
          <w:color w:val="000000"/>
          <w:sz w:val="22"/>
        </w:rPr>
        <w:t>“Excavation” means all activities involved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Excavating, working in, or backfilling (refilling) trenches, except manually excavated or manually backfilling trenches that do not exceed four feet in depth at any point or working in trenches that do not exceed four feet in depth at any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Excavating for buildings or other structures or working in the excavations, except manually excavating to a depth not exceeding four feet below any ground surface adjoining the excavation, working in an excavation not exceeding four feet in depth, or working in an excavation where the side walls are shored or sloped to the angle or repose.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Working within tunnels prior to the completion of all driving and shoring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Working within shafts prior to the completion of all sinking and shoring operations.</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9">
        <w:r>
          <w:rPr>
            <w:rStyle w:val="Hyperlink"/>
            <w:rFonts w:ascii="Times New Roman" w:hAnsi="Times New Roman"/>
            <w:b w:val="false"/>
            <w:i w:val="false"/>
            <w:color w:val="000000"/>
            <w:sz w:val="22"/>
          </w:rPr>
          <w:t>92.8(15)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32.8(16)</w:t>
      </w:r>
      <w:r>
        <w:rPr>
          <w:rFonts w:ascii="Times New Roman" w:hAnsi="Times New Roman"/>
          <w:b w:val="false"/>
          <w:i w:val="false"/>
          <w:color w:val="000000"/>
          <w:sz w:val="22"/>
        </w:rPr>
        <w:t> </w:t>
      </w:r>
      <w:r>
        <w:rPr>
          <w:rFonts w:ascii="Times New Roman" w:hAnsi="Times New Roman"/>
          <w:b w:val="false"/>
          <w:i w:val="false"/>
          <w:color w:val="000000"/>
          <w:sz w:val="22"/>
        </w:rPr>
        <w:t xml:space="preserve">to </w:t>
      </w:r>
      <w:hyperlink r:id="rId40">
        <w:r>
          <w:rPr>
            <w:rStyle w:val="Hyperlink"/>
            <w:rFonts w:ascii="Times New Roman" w:hAnsi="Times New Roman"/>
            <w:b/>
            <w:i w:val="false"/>
            <w:color w:val="000000"/>
            <w:sz w:val="22"/>
          </w:rPr>
          <w:t>32.8(19)</w:t>
        </w:r>
      </w:hyperlink>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32.8(20)</w:t>
      </w:r>
      <w:r>
        <w:rPr>
          <w:rFonts w:ascii="Times New Roman" w:hAnsi="Times New Roman"/>
          <w:b w:val="false"/>
          <w:i w:val="false"/>
          <w:color w:val="000000"/>
          <w:sz w:val="22"/>
        </w:rPr>
        <w:t> </w:t>
      </w:r>
      <w:r>
        <w:rPr>
          <w:rFonts w:ascii="Times New Roman" w:hAnsi="Times New Roman"/>
          <w:b w:val="false"/>
          <w:i w:val="false"/>
          <w:color w:val="000000"/>
          <w:sz w:val="22"/>
        </w:rPr>
        <w:t>Work activities prohibited by the director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Activities involved in the operation of power cutters on corn detasseling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Activities involved in the driving of power-driven detasseling machines unless the driver has a valid driver’s license or a certificate issued by the Federal Extension Service showing that the driver has completed a 4-H farm and machinery program.</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41">
        <w:r>
          <w:rPr>
            <w:rStyle w:val="Hyperlink"/>
            <w:rFonts w:ascii="Times New Roman" w:hAnsi="Times New Roman"/>
            <w:b w:val="false"/>
            <w:i w:val="false"/>
            <w:color w:val="000000"/>
            <w:sz w:val="22"/>
          </w:rPr>
          <w:t>92.8(21)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
        <w:r>
          <w:rPr>
            <w:rStyle w:val="Hyperlink"/>
            <w:rFonts w:ascii="Times New Roman" w:hAnsi="Times New Roman"/>
            <w:b w:val="false"/>
            <w:i w:val="false"/>
            <w:color w:val="000000"/>
            <w:sz w:val="22"/>
          </w:rPr>
          <w:t>92.8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875—32.9</w:t>
      </w:r>
      <w:r>
        <w:rPr>
          <w:rFonts w:ascii="Times New Roman" w:hAnsi="Times New Roman"/>
          <w:b/>
          <w:i w:val="false"/>
          <w:color w:val="000000"/>
          <w:sz w:val="22"/>
        </w:rPr>
        <w:t xml:space="preserve">(92) </w:t>
      </w:r>
      <w:r>
        <w:rPr>
          <w:rFonts w:ascii="Times New Roman" w:hAnsi="Times New Roman"/>
          <w:b/>
          <w:i w:val="false"/>
          <w:color w:val="000000"/>
          <w:sz w:val="22"/>
        </w:rPr>
        <w:t xml:space="preserve">Terms. </w:t>
      </w:r>
      <w:r>
        <w:rPr>
          <w:rFonts w:ascii="Times New Roman" w:hAnsi="Times New Roman"/>
          <w:b w:val="false"/>
          <w:i w:val="false"/>
          <w:color w:val="000000"/>
          <w:sz w:val="22"/>
        </w:rPr>
        <w:t xml:space="preserve">The terms used in Iowa Code section </w:t>
      </w:r>
      <w:hyperlink r:id="rId43">
        <w:r>
          <w:rPr>
            <w:rStyle w:val="Hyperlink"/>
            <w:rFonts w:ascii="Times New Roman" w:hAnsi="Times New Roman"/>
            <w:b w:val="false"/>
            <w:i w:val="false"/>
            <w:color w:val="000000"/>
            <w:sz w:val="22"/>
          </w:rPr>
          <w:t>92.8A</w:t>
        </w:r>
      </w:hyperlink>
      <w:r>
        <w:rPr>
          <w:rFonts w:ascii="Times New Roman" w:hAnsi="Times New Roman"/>
          <w:b w:val="false"/>
          <w:i w:val="false"/>
          <w:color w:val="000000"/>
          <w:sz w:val="22"/>
        </w:rPr>
        <w:t xml:space="preserve"> are defined and applied as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“Incidental” </w:t>
      </w:r>
      <w:r>
        <w:rPr>
          <w:rFonts w:ascii="Times New Roman" w:hAnsi="Times New Roman"/>
          <w:b w:val="false"/>
          <w:i w:val="false"/>
          <w:color w:val="000000"/>
          <w:sz w:val="22"/>
        </w:rPr>
        <w:t>means not a primary activity of the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“Intermittent and for short periods of time” </w:t>
      </w:r>
      <w:r>
        <w:rPr>
          <w:rFonts w:ascii="Times New Roman" w:hAnsi="Times New Roman"/>
          <w:b w:val="false"/>
          <w:i w:val="false"/>
          <w:color w:val="000000"/>
          <w:sz w:val="22"/>
        </w:rPr>
        <w:t>may vary depending on the degree and type of hazard. The frequency and duration of an activity shall make it clear the employee is a learner rather than a production worker. The burden is on the employer to justify more than one hour per day or 20 percent of a shift.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“Written permission” </w:t>
      </w:r>
      <w:r>
        <w:rPr>
          <w:rFonts w:ascii="Times New Roman" w:hAnsi="Times New Roman"/>
          <w:b w:val="false"/>
          <w:i w:val="false"/>
          <w:color w:val="000000"/>
          <w:sz w:val="22"/>
        </w:rPr>
        <w:t xml:space="preserve">includes a description of the activity that would otherwise be unlawful under Iowa Code section </w:t>
      </w:r>
      <w:hyperlink r:id="rId44">
        <w:r>
          <w:rPr>
            <w:rStyle w:val="Hyperlink"/>
            <w:rFonts w:ascii="Times New Roman" w:hAnsi="Times New Roman"/>
            <w:b w:val="false"/>
            <w:i w:val="false"/>
            <w:color w:val="000000"/>
            <w:sz w:val="22"/>
          </w:rPr>
          <w:t>92.8</w:t>
        </w:r>
      </w:hyperlink>
      <w:r>
        <w:rPr>
          <w:rFonts w:ascii="Times New Roman" w:hAnsi="Times New Roman"/>
          <w:b w:val="false"/>
          <w:i w:val="false"/>
          <w:color w:val="000000"/>
          <w:sz w:val="22"/>
        </w:rPr>
        <w:t>, including the expected frequency and duration of that activity.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5">
        <w:r>
          <w:rPr>
            <w:rStyle w:val="Hyperlink"/>
            <w:rFonts w:ascii="Times New Roman" w:hAnsi="Times New Roman"/>
            <w:b w:val="false"/>
            <w:i w:val="false"/>
            <w:color w:val="000000"/>
            <w:sz w:val="22"/>
          </w:rPr>
          <w:t>92.8A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875—32.10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875—32.11</w:t>
      </w:r>
      <w:r>
        <w:rPr>
          <w:rFonts w:ascii="Times New Roman" w:hAnsi="Times New Roman"/>
          <w:b/>
          <w:i w:val="false"/>
          <w:color w:val="000000"/>
          <w:sz w:val="22"/>
        </w:rPr>
        <w:t xml:space="preserve">(92) </w:t>
      </w:r>
      <w:r>
        <w:rPr>
          <w:rFonts w:ascii="Times New Roman" w:hAnsi="Times New Roman"/>
          <w:b/>
          <w:i w:val="false"/>
          <w:color w:val="000000"/>
          <w:sz w:val="22"/>
        </w:rPr>
        <w:t xml:space="preserve">Civil penalty calculation. </w:t>
      </w:r>
      <w:r>
        <w:rPr>
          <w:rFonts w:ascii="Times New Roman" w:hAnsi="Times New Roman"/>
          <w:b w:val="false"/>
          <w:i w:val="false"/>
          <w:color w:val="000000"/>
          <w:sz w:val="22"/>
        </w:rPr>
        <w:t xml:space="preserve">An employer who violates this chapter or Iowa Code chapter </w:t>
      </w:r>
      <w:hyperlink r:id="rId46">
        <w:r>
          <w:rPr>
            <w:rStyle w:val="Hyperlink"/>
            <w:rFonts w:ascii="Times New Roman" w:hAnsi="Times New Roman"/>
            <w:b w:val="false"/>
            <w:i w:val="false"/>
            <w:color w:val="000000"/>
            <w:sz w:val="22"/>
          </w:rPr>
          <w:t>92</w:t>
        </w:r>
      </w:hyperlink>
      <w:r>
        <w:rPr>
          <w:rFonts w:ascii="Times New Roman" w:hAnsi="Times New Roman"/>
          <w:b w:val="false"/>
          <w:i w:val="false"/>
          <w:color w:val="000000"/>
          <w:sz w:val="22"/>
        </w:rPr>
        <w:t xml:space="preserve"> is subject to a civil penalty of not more than $10,000 per violation as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32.11(1)</w:t>
      </w:r>
      <w:r>
        <w:rPr>
          <w:rFonts w:ascii="Times New Roman" w:hAnsi="Times New Roman"/>
          <w:b w:val="false"/>
          <w:i w:val="false"/>
          <w:color w:val="000000"/>
          <w:sz w:val="22"/>
        </w:rPr>
        <w:t> </w:t>
      </w:r>
      <w:r>
        <w:rPr>
          <w:rFonts w:ascii="Times New Roman" w:hAnsi="Times New Roman"/>
          <w:b w:val="false"/>
          <w:i/>
          <w:color w:val="000000"/>
          <w:sz w:val="22"/>
        </w:rPr>
        <w:t xml:space="preserve">Counting the number of violations.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day that a child works too many hours, works at a prohibited time, or works in a prohibited occupation is a separate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may waive or reduce the penalty if this method of counting the violations would result in a penalty that is disproportionate to the harm done to the minor(s), the size of the employer,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32.11(2)</w:t>
      </w:r>
      <w:r>
        <w:rPr>
          <w:rFonts w:ascii="Times New Roman" w:hAnsi="Times New Roman"/>
          <w:b w:val="false"/>
          <w:i w:val="false"/>
          <w:color w:val="000000"/>
          <w:sz w:val="22"/>
        </w:rPr>
        <w:t> </w:t>
      </w:r>
      <w:r>
        <w:rPr>
          <w:rFonts w:ascii="Times New Roman" w:hAnsi="Times New Roman"/>
          <w:b w:val="false"/>
          <w:i/>
          <w:color w:val="000000"/>
          <w:sz w:val="22"/>
        </w:rPr>
        <w:t xml:space="preserve">Determining whether a violation is a repeat violation. </w:t>
      </w:r>
      <w:r>
        <w:rPr>
          <w:rFonts w:ascii="Times New Roman" w:hAnsi="Times New Roman"/>
          <w:b w:val="false"/>
          <w:i w:val="false"/>
          <w:color w:val="000000"/>
          <w:sz w:val="22"/>
        </w:rPr>
        <w:t xml:space="preserve">The higher penalty amounts outlined in subrules </w:t>
      </w:r>
      <w:r>
        <w:rPr>
          <w:rFonts w:ascii="Times New Roman" w:hAnsi="Times New Roman"/>
          <w:b w:val="false"/>
          <w:i w:val="false"/>
          <w:color w:val="000000"/>
          <w:sz w:val="22"/>
        </w:rPr>
        <w:t>32.11(4)</w:t>
      </w:r>
      <w:r>
        <w:rPr>
          <w:rFonts w:ascii="Times New Roman" w:hAnsi="Times New Roman"/>
          <w:b w:val="false"/>
          <w:i w:val="false"/>
          <w:color w:val="000000"/>
          <w:sz w:val="22"/>
        </w:rPr>
        <w:t xml:space="preserve"> and </w:t>
      </w:r>
      <w:r>
        <w:rPr>
          <w:rFonts w:ascii="Times New Roman" w:hAnsi="Times New Roman"/>
          <w:b w:val="false"/>
          <w:i w:val="false"/>
          <w:color w:val="000000"/>
          <w:sz w:val="22"/>
        </w:rPr>
        <w:t>32.11(5)</w:t>
      </w:r>
      <w:r>
        <w:rPr>
          <w:rFonts w:ascii="Times New Roman" w:hAnsi="Times New Roman"/>
          <w:b w:val="false"/>
          <w:i w:val="false"/>
          <w:color w:val="000000"/>
          <w:sz w:val="22"/>
        </w:rPr>
        <w:t xml:space="preserve"> for repeat instances may be assessed by the director if citations regarding the earlier instance or instances are final action and occurred less than five years before.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32.11(3)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32.11(4)</w:t>
      </w:r>
      <w:r>
        <w:rPr>
          <w:rFonts w:ascii="Times New Roman" w:hAnsi="Times New Roman"/>
          <w:b w:val="false"/>
          <w:i w:val="false"/>
          <w:color w:val="000000"/>
          <w:sz w:val="22"/>
        </w:rPr>
        <w:t> </w:t>
      </w:r>
      <w:r>
        <w:rPr>
          <w:rFonts w:ascii="Times New Roman" w:hAnsi="Times New Roman"/>
          <w:b w:val="false"/>
          <w:i/>
          <w:color w:val="000000"/>
          <w:sz w:val="22"/>
        </w:rPr>
        <w:t xml:space="preserve">Hours violations. </w:t>
      </w:r>
      <w:r>
        <w:rPr>
          <w:rFonts w:ascii="Times New Roman" w:hAnsi="Times New Roman"/>
          <w:b w:val="false"/>
          <w:i w:val="false"/>
          <w:color w:val="000000"/>
          <w:sz w:val="22"/>
        </w:rPr>
        <w:t>If a child is killed while working at a prohibited time or for excessive hours, the civil penalty is $10,000 for each instance. For other time or hour violations, the penalties set forth in this subrule are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civil penalties for working less than 15 minutes before or after an allowed time are as set forth in the following schedule:</w:t>
      </w:r>
    </w:p>
    <w:tbl>
      <w:tblPr>
        <w:tblW w:w="5000" w:type="pct"/>
        <w:tblCellSpacing w:w="0" w:type="auto"/>
        <w:tblBorders>
          <w:top w:val="none"/>
          <w:left w:val="none"/>
          <w:bottom w:val="none"/>
          <w:right w:val="none"/>
          <w:insideH w:val="none"/>
          <w:insideV w:val="none"/>
        </w:tblBorders>
        <w:tblLayout w:type="fixed"/>
      </w:tblPr>
      <w:tblGrid>
        <w:gridCol w:w="6130"/>
        <w:gridCol w:w="850"/>
        <w:gridCol w:w="4210"/>
      </w:tblGrid>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Instance</w:t>
            </w:r>
          </w:p>
        </w:tc>
        <w:tc>
          <w:tcPr>
            <w:tcW w:w="8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First</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Warning letter</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Second</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Third</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 civil penalty</w:t>
            </w:r>
          </w:p>
        </w:tc>
      </w:tr>
      <w:tr>
        <w:trPr>
          <w:trHeight w:val="24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Fourth</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Fifth</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Each additional instance</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$2,500 civil penalty</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any time or hours violation not described elsewhere in this subrule, the following civil penalty schedule applies:</w:t>
      </w:r>
    </w:p>
    <w:tbl>
      <w:tblPr>
        <w:tblW w:w="5000" w:type="pct"/>
        <w:tblCellSpacing w:w="0" w:type="auto"/>
        <w:tblBorders>
          <w:top w:val="none"/>
          <w:left w:val="none"/>
          <w:bottom w:val="none"/>
          <w:right w:val="none"/>
          <w:insideH w:val="none"/>
          <w:insideV w:val="none"/>
        </w:tblBorders>
        <w:tblLayout w:type="fixed"/>
      </w:tblPr>
      <w:tblGrid>
        <w:gridCol w:w="6130"/>
        <w:gridCol w:w="850"/>
        <w:gridCol w:w="4210"/>
      </w:tblGrid>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Instance</w:t>
            </w:r>
          </w:p>
        </w:tc>
        <w:tc>
          <w:tcPr>
            <w:tcW w:w="8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First</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Second</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Third</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Fourth</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Each additional instance</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$2,500 civil penalty</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32.11(5)</w:t>
      </w:r>
      <w:r>
        <w:rPr>
          <w:rFonts w:ascii="Times New Roman" w:hAnsi="Times New Roman"/>
          <w:b w:val="false"/>
          <w:i w:val="false"/>
          <w:color w:val="000000"/>
          <w:sz w:val="22"/>
        </w:rPr>
        <w:t> </w:t>
      </w:r>
      <w:r>
        <w:rPr>
          <w:rFonts w:ascii="Times New Roman" w:hAnsi="Times New Roman"/>
          <w:b w:val="false"/>
          <w:i/>
          <w:color w:val="000000"/>
          <w:sz w:val="22"/>
        </w:rPr>
        <w:t xml:space="preserve">Occupation violations.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no serious illness or injury results from the work, the civil penalties for allowing or permitting a child to perform prohibited work are as set forth in the following schedule:</w:t>
      </w:r>
    </w:p>
    <w:tbl>
      <w:tblPr>
        <w:tblW w:w="5000" w:type="pct"/>
        <w:tblCellSpacing w:w="0" w:type="auto"/>
        <w:tblBorders>
          <w:top w:val="none"/>
          <w:left w:val="none"/>
          <w:bottom w:val="none"/>
          <w:right w:val="none"/>
          <w:insideH w:val="none"/>
          <w:insideV w:val="none"/>
        </w:tblBorders>
        <w:tblLayout w:type="fixed"/>
      </w:tblPr>
      <w:tblGrid>
        <w:gridCol w:w="6130"/>
        <w:gridCol w:w="850"/>
        <w:gridCol w:w="4210"/>
      </w:tblGrid>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Instance</w:t>
            </w:r>
          </w:p>
        </w:tc>
        <w:tc>
          <w:tcPr>
            <w:tcW w:w="8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First</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Second</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Third</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Fourth</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Fifth</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$7,500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Each additional instance</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 civil penalty</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nonfatal but serious illness or injury results from the work, the civil penalties for allowing or permitting a child to perform prohibited work are as set forth in the following schedule:</w:t>
      </w:r>
    </w:p>
    <w:tbl>
      <w:tblPr>
        <w:tblW w:w="5000" w:type="pct"/>
        <w:tblCellSpacing w:w="0" w:type="auto"/>
        <w:tblBorders>
          <w:top w:val="none"/>
          <w:left w:val="none"/>
          <w:bottom w:val="none"/>
          <w:right w:val="none"/>
          <w:insideH w:val="none"/>
          <w:insideV w:val="none"/>
        </w:tblBorders>
        <w:tblLayout w:type="fixed"/>
      </w:tblPr>
      <w:tblGrid>
        <w:gridCol w:w="6130"/>
        <w:gridCol w:w="850"/>
        <w:gridCol w:w="4210"/>
      </w:tblGrid>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Instance</w:t>
            </w:r>
          </w:p>
        </w:tc>
        <w:tc>
          <w:tcPr>
            <w:tcW w:w="8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First</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Second</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Each additional instance</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 civil penalty</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fatality results from the work, the civil penalty for allowing or permitting a child to perform prohibited work is $10,000 for each instance.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32.11(6)</w:t>
      </w:r>
      <w:r>
        <w:rPr>
          <w:rFonts w:ascii="Times New Roman" w:hAnsi="Times New Roman"/>
          <w:b w:val="false"/>
          <w:i w:val="false"/>
          <w:color w:val="000000"/>
          <w:sz w:val="22"/>
        </w:rPr>
        <w:t> </w:t>
      </w:r>
      <w:r>
        <w:rPr>
          <w:rFonts w:ascii="Times New Roman" w:hAnsi="Times New Roman"/>
          <w:b w:val="false"/>
          <w:i/>
          <w:color w:val="000000"/>
          <w:sz w:val="22"/>
        </w:rPr>
        <w:t xml:space="preserve">Penalty reduction factors. </w:t>
      </w:r>
      <w:r>
        <w:rPr>
          <w:rFonts w:ascii="Times New Roman" w:hAnsi="Times New Roman"/>
          <w:b w:val="false"/>
          <w:i w:val="false"/>
          <w:color w:val="000000"/>
          <w:sz w:val="22"/>
        </w:rPr>
        <w:t xml:space="preserve">Except for violations related to the death of a child while working, the director shall reduce the penalty calculated pursuant to subrules </w:t>
      </w:r>
      <w:r>
        <w:rPr>
          <w:rFonts w:ascii="Times New Roman" w:hAnsi="Times New Roman"/>
          <w:b w:val="false"/>
          <w:i w:val="false"/>
          <w:color w:val="000000"/>
          <w:sz w:val="22"/>
        </w:rPr>
        <w:t>32.11(1)</w:t>
      </w:r>
      <w:r>
        <w:rPr>
          <w:rFonts w:ascii="Times New Roman" w:hAnsi="Times New Roman"/>
          <w:b w:val="false"/>
          <w:i w:val="false"/>
          <w:color w:val="000000"/>
          <w:sz w:val="22"/>
        </w:rPr>
        <w:t xml:space="preserve">, </w:t>
      </w:r>
      <w:r>
        <w:rPr>
          <w:rFonts w:ascii="Times New Roman" w:hAnsi="Times New Roman"/>
          <w:b w:val="false"/>
          <w:i w:val="false"/>
          <w:color w:val="000000"/>
          <w:sz w:val="22"/>
        </w:rPr>
        <w:t>32.11(2)</w:t>
      </w:r>
      <w:r>
        <w:rPr>
          <w:rFonts w:ascii="Times New Roman" w:hAnsi="Times New Roman"/>
          <w:b w:val="false"/>
          <w:i w:val="false"/>
          <w:color w:val="000000"/>
          <w:sz w:val="22"/>
        </w:rPr>
        <w:t xml:space="preserve">, </w:t>
      </w:r>
      <w:r>
        <w:rPr>
          <w:rFonts w:ascii="Times New Roman" w:hAnsi="Times New Roman"/>
          <w:b w:val="false"/>
          <w:i w:val="false"/>
          <w:color w:val="000000"/>
          <w:sz w:val="22"/>
        </w:rPr>
        <w:t>32.11(4)</w:t>
      </w:r>
      <w:r>
        <w:rPr>
          <w:rFonts w:ascii="Times New Roman" w:hAnsi="Times New Roman"/>
          <w:b w:val="false"/>
          <w:i w:val="false"/>
          <w:color w:val="000000"/>
          <w:sz w:val="22"/>
        </w:rPr>
        <w:t xml:space="preserve"> and </w:t>
      </w:r>
      <w:r>
        <w:rPr>
          <w:rFonts w:ascii="Times New Roman" w:hAnsi="Times New Roman"/>
          <w:b w:val="false"/>
          <w:i w:val="false"/>
          <w:color w:val="000000"/>
          <w:sz w:val="22"/>
        </w:rPr>
        <w:t>32.11(5)</w:t>
      </w:r>
      <w:r>
        <w:rPr>
          <w:rFonts w:ascii="Times New Roman" w:hAnsi="Times New Roman"/>
          <w:b w:val="false"/>
          <w:i w:val="false"/>
          <w:color w:val="000000"/>
          <w:sz w:val="22"/>
        </w:rPr>
        <w:t xml:space="preserve"> by the appropriate penalty reduction percentages set forth in this subrule. However, if the director requests information relevant to the penalty assessment and the employer does not provide responsive information, the director will not reduce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Penalty reduction for size of business. </w:t>
      </w:r>
      <w:r>
        <w:rPr>
          <w:rFonts w:ascii="Times New Roman" w:hAnsi="Times New Roman"/>
          <w:b w:val="false"/>
          <w:i w:val="false"/>
          <w:color w:val="000000"/>
          <w:sz w:val="22"/>
        </w:rPr>
        <w:t xml:space="preserve">The director shall reduce a penalty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Thirty-five percent if the employer has 25 or fewer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Fifteen percent if the employer has 26 to 100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Five percent if the employer has 101 to 250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Penalty reduction for good faith. </w:t>
      </w:r>
      <w:r>
        <w:rPr>
          <w:rFonts w:ascii="Times New Roman" w:hAnsi="Times New Roman"/>
          <w:b w:val="false"/>
          <w:i w:val="false"/>
          <w:color w:val="000000"/>
          <w:sz w:val="22"/>
        </w:rPr>
        <w:t>The director may reduce a penalty by 15 percent based upon evidence that the employer made a good faith attempt to comply with the requirements. If at any time the director warned an employer in writing about a prohibited practice and a civil penalty is being assessed against the same employer for repeating the practice, the director shall not reduce the penalty based on good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Penalty reduction for history. </w:t>
      </w:r>
      <w:r>
        <w:rPr>
          <w:rFonts w:ascii="Times New Roman" w:hAnsi="Times New Roman"/>
          <w:b w:val="false"/>
          <w:i w:val="false"/>
          <w:color w:val="000000"/>
          <w:sz w:val="22"/>
        </w:rPr>
        <w:t xml:space="preserve">The director shall reduce a penalty by 10 percent if the director has not assessed a civil penalty under this chapter within the past five years.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
        <w:r>
          <w:rPr>
            <w:rStyle w:val="Hyperlink"/>
            <w:rFonts w:ascii="Times New Roman" w:hAnsi="Times New Roman"/>
            <w:b w:val="false"/>
            <w:i w:val="false"/>
            <w:color w:val="000000"/>
            <w:sz w:val="22"/>
          </w:rPr>
          <w:t>92.22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875—32.12</w:t>
      </w:r>
      <w:r>
        <w:rPr>
          <w:rFonts w:ascii="Times New Roman" w:hAnsi="Times New Roman"/>
          <w:b/>
          <w:i w:val="false"/>
          <w:color w:val="000000"/>
          <w:sz w:val="22"/>
        </w:rPr>
        <w:t xml:space="preserve">(92) </w:t>
      </w:r>
      <w:r>
        <w:rPr>
          <w:rFonts w:ascii="Times New Roman" w:hAnsi="Times New Roman"/>
          <w:b/>
          <w:i w:val="false"/>
          <w:color w:val="000000"/>
          <w:sz w:val="22"/>
        </w:rPr>
        <w:t xml:space="preserve">Civil penalty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32.12(1)</w:t>
      </w:r>
      <w:r>
        <w:rPr>
          <w:rFonts w:ascii="Times New Roman" w:hAnsi="Times New Roman"/>
          <w:b w:val="false"/>
          <w:i w:val="false"/>
          <w:color w:val="000000"/>
          <w:sz w:val="22"/>
        </w:rPr>
        <w:t> </w:t>
      </w:r>
      <w:r>
        <w:rPr>
          <w:rFonts w:ascii="Times New Roman" w:hAnsi="Times New Roman"/>
          <w:b w:val="false"/>
          <w:i/>
          <w:color w:val="000000"/>
          <w:sz w:val="22"/>
        </w:rPr>
        <w:t xml:space="preserve">Notice of civil penalty. </w:t>
      </w:r>
      <w:r>
        <w:rPr>
          <w:rFonts w:ascii="Times New Roman" w:hAnsi="Times New Roman"/>
          <w:b w:val="false"/>
          <w:i w:val="false"/>
          <w:color w:val="000000"/>
          <w:sz w:val="22"/>
        </w:rPr>
        <w:t>The director shall serve a notice of proposed civil penalty by certified mail or in a manner consistent with service of original notice under the Iowa Rules of Civil Procedure with a 15-day grace period before issuing the notice. The notice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that the notice proposes a civil penalty assessment for violation of child labor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Descriptions of the alleged violations including the provisions allegedly violated, the number of violations, and the proposed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that the employer has the right to request a hearing by filing a notice of contest with the director within 15 working days from the receipt of the notice of proposed civil penalty and that if a notice of contest is not timely filed, the proposed civil penalty will become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applicable procedural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32.12(2)</w:t>
      </w:r>
      <w:r>
        <w:rPr>
          <w:rFonts w:ascii="Times New Roman" w:hAnsi="Times New Roman"/>
          <w:b w:val="false"/>
          <w:i w:val="false"/>
          <w:color w:val="000000"/>
          <w:sz w:val="22"/>
        </w:rPr>
        <w:t> </w:t>
      </w:r>
      <w:r>
        <w:rPr>
          <w:rFonts w:ascii="Times New Roman" w:hAnsi="Times New Roman"/>
          <w:b w:val="false"/>
          <w:i/>
          <w:color w:val="000000"/>
          <w:sz w:val="22"/>
        </w:rPr>
        <w:t xml:space="preserve">Notice of contest. </w:t>
      </w:r>
      <w:r>
        <w:rPr>
          <w:rFonts w:ascii="Times New Roman" w:hAnsi="Times New Roman"/>
          <w:b w:val="false"/>
          <w:i w:val="false"/>
          <w:color w:val="000000"/>
          <w:sz w:val="22"/>
        </w:rPr>
        <w:t>The civil penalty proposed by the director is final agency action if the employer does not timely file a notice of contest. The filing date for a timely notice of contest is within 15 working days of the date the notice of proposed civil penalty was received by the employer. The notice of contest shall include the name, address, and telephone number of the employer’s representative. If a notice of contest is filed by fax, the original shall be mailed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32.12(3)</w:t>
      </w:r>
      <w:r>
        <w:rPr>
          <w:rFonts w:ascii="Times New Roman" w:hAnsi="Times New Roman"/>
          <w:b w:val="false"/>
          <w:i w:val="false"/>
          <w:color w:val="000000"/>
          <w:sz w:val="22"/>
        </w:rPr>
        <w:t> </w:t>
      </w:r>
      <w:r>
        <w:rPr>
          <w:rFonts w:ascii="Times New Roman" w:hAnsi="Times New Roman"/>
          <w:b w:val="false"/>
          <w:i/>
          <w:color w:val="000000"/>
          <w:sz w:val="22"/>
        </w:rPr>
        <w:t xml:space="preserve">Contested case procedures. </w:t>
      </w:r>
      <w:r>
        <w:rPr>
          <w:rFonts w:ascii="Times New Roman" w:hAnsi="Times New Roman"/>
          <w:b w:val="false"/>
          <w:i w:val="false"/>
          <w:color w:val="000000"/>
          <w:sz w:val="22"/>
        </w:rPr>
        <w:t xml:space="preserve">Contested case procedures are set forth in the director’s rules and Iowa Code chapter </w:t>
      </w:r>
      <w:hyperlink r:id="rId4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
        <w:r>
          <w:rPr>
            <w:rStyle w:val="Hyperlink"/>
            <w:rFonts w:ascii="Times New Roman" w:hAnsi="Times New Roman"/>
            <w:b w:val="false"/>
            <w:i w:val="false"/>
            <w:color w:val="000000"/>
            <w:sz w:val="22"/>
          </w:rPr>
          <w:t>92.22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4/15/71; amended 2/9/72]</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9/10/87, Notice 7/29/87—published 10/7/87, effective 11/11/87]</w:t>
      </w:r>
    </w:p>
    <w:p>
      <w:pPr>
        <w:spacing w:before="0" w:after="0"/>
        <w:ind w:left="120"/>
        <w:jc w:val="center"/>
      </w:pPr>
      <w:r>
        <w:rPr>
          <w:rFonts w:ascii="Times New Roman" w:hAnsi="Times New Roman"/>
          <w:b w:val="false"/>
          <w:i w:val="false"/>
          <w:color w:val="000000"/>
          <w:sz w:val="21"/>
        </w:rPr>
        <w:t>[Filed 5/7/93, Notice 3/3/93—published 5/26/93, effective 6/30/93]</w:t>
      </w:r>
    </w:p>
    <w:p>
      <w:pPr>
        <w:spacing w:before="0" w:after="0"/>
        <w:ind w:left="120"/>
        <w:jc w:val="center"/>
      </w:pPr>
      <w:r>
        <w:rPr>
          <w:rFonts w:ascii="Times New Roman" w:hAnsi="Times New Roman"/>
          <w:b w:val="false"/>
          <w:i w:val="false"/>
          <w:color w:val="000000"/>
          <w:sz w:val="21"/>
        </w:rPr>
        <w:t>[Filed ARC 8300B</w:t>
      </w:r>
      <w:r>
        <w:rPr>
          <w:rFonts w:ascii="Times New Roman" w:hAnsi="Times New Roman"/>
          <w:b w:val="false"/>
          <w:i w:val="false"/>
          <w:color w:val="000000"/>
          <w:sz w:val="21"/>
        </w:rPr>
        <w:t xml:space="preserve"> (Notice ARC 8167B, IAB 9/23/09)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9963B</w:t>
      </w:r>
      <w:r>
        <w:rPr>
          <w:rFonts w:ascii="Times New Roman" w:hAnsi="Times New Roman"/>
          <w:b w:val="false"/>
          <w:i w:val="false"/>
          <w:color w:val="000000"/>
          <w:sz w:val="21"/>
        </w:rPr>
        <w:t xml:space="preserve"> (Notice ARC 9758B, IAB 10/5/11)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ARC 2134C</w:t>
      </w:r>
      <w:r>
        <w:rPr>
          <w:rFonts w:ascii="Times New Roman" w:hAnsi="Times New Roman"/>
          <w:b w:val="false"/>
          <w:i w:val="false"/>
          <w:color w:val="000000"/>
          <w:sz w:val="21"/>
        </w:rPr>
        <w:t xml:space="preserve"> (Notice ARC 2014C, IAB 5/27/15)</w:t>
      </w:r>
      <w:r>
        <w:rPr>
          <w:rFonts w:ascii="Times New Roman" w:hAnsi="Times New Roman"/>
          <w:b w:val="false"/>
          <w:i w:val="false"/>
          <w:color w:val="000000"/>
          <w:sz w:val="21"/>
        </w:rPr>
        <w:t>, IAB 9/2/15, effective 10/7/15]</w:t>
      </w:r>
    </w:p>
    <w:p>
      <w:pPr>
        <w:spacing w:before="0" w:after="0"/>
        <w:ind w:left="120"/>
        <w:jc w:val="center"/>
      </w:pPr>
      <w:r>
        <w:rPr>
          <w:rFonts w:ascii="Times New Roman" w:hAnsi="Times New Roman"/>
          <w:b w:val="false"/>
          <w:i w:val="false"/>
          <w:color w:val="000000"/>
          <w:sz w:val="21"/>
        </w:rPr>
        <w:t>[Filed ARC 3339C</w:t>
      </w:r>
      <w:r>
        <w:rPr>
          <w:rFonts w:ascii="Times New Roman" w:hAnsi="Times New Roman"/>
          <w:b w:val="false"/>
          <w:i w:val="false"/>
          <w:color w:val="000000"/>
          <w:sz w:val="21"/>
        </w:rPr>
        <w:t xml:space="preserve"> (Notice ARC 3220C, IAB 8/2/17)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4639C</w:t>
      </w:r>
      <w:r>
        <w:rPr>
          <w:rFonts w:ascii="Times New Roman" w:hAnsi="Times New Roman"/>
          <w:b w:val="false"/>
          <w:i w:val="false"/>
          <w:color w:val="000000"/>
          <w:sz w:val="21"/>
        </w:rPr>
        <w:t xml:space="preserve"> (Notice ARC 4497C, IAB 6/19/19)</w:t>
      </w:r>
      <w:r>
        <w:rPr>
          <w:rFonts w:ascii="Times New Roman" w:hAnsi="Times New Roman"/>
          <w:b w:val="false"/>
          <w:i w:val="false"/>
          <w:color w:val="000000"/>
          <w:sz w:val="21"/>
        </w:rPr>
        <w:t>, IAB 8/28/19, effective 10/2/19]</w:t>
      </w:r>
      <w:r>
        <w:br/>
      </w:r>
      <w:r>
        <w:rPr>
          <w:rFonts w:ascii="Times New Roman" w:hAnsi="Times New Roman"/>
          <w:b w:val="false"/>
          <w:i w:val="false"/>
          <w:color w:val="000000"/>
          <w:sz w:val="21"/>
        </w:rPr>
        <w:t>[Filed ARC 4640C</w:t>
      </w:r>
      <w:r>
        <w:rPr>
          <w:rFonts w:ascii="Times New Roman" w:hAnsi="Times New Roman"/>
          <w:b w:val="false"/>
          <w:i w:val="false"/>
          <w:color w:val="000000"/>
          <w:sz w:val="21"/>
        </w:rPr>
        <w:t xml:space="preserve"> (Notice ARC 4520C,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5022C</w:t>
      </w:r>
      <w:r>
        <w:rPr>
          <w:rFonts w:ascii="Times New Roman" w:hAnsi="Times New Roman"/>
          <w:b w:val="false"/>
          <w:i w:val="false"/>
          <w:color w:val="000000"/>
          <w:sz w:val="21"/>
        </w:rPr>
        <w:t xml:space="preserve"> (Notice ARC 4894C,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[Editorial change: IAC Supplement 2/10/21]</w:t>
      </w:r>
    </w:p>
    <w:p>
      <w:pPr>
        <w:spacing w:before="0" w:after="0"/>
        <w:ind w:left="120"/>
        <w:jc w:val="center"/>
      </w:pPr>
      <w:r>
        <w:rPr>
          <w:rFonts w:ascii="Times New Roman" w:hAnsi="Times New Roman"/>
          <w:b w:val="false"/>
          <w:i w:val="false"/>
          <w:color w:val="000000"/>
          <w:sz w:val="21"/>
        </w:rPr>
        <w:t>[Filed ARC 6764C</w:t>
      </w:r>
      <w:r>
        <w:rPr>
          <w:rFonts w:ascii="Times New Roman" w:hAnsi="Times New Roman"/>
          <w:b w:val="false"/>
          <w:i w:val="false"/>
          <w:color w:val="000000"/>
          <w:sz w:val="21"/>
        </w:rPr>
        <w:t xml:space="preserve"> (Notice ARC 6600C,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7615C</w:t>
      </w:r>
      <w:r>
        <w:rPr>
          <w:rFonts w:ascii="Times New Roman" w:hAnsi="Times New Roman"/>
          <w:b w:val="false"/>
          <w:i w:val="false"/>
          <w:color w:val="000000"/>
          <w:sz w:val="21"/>
        </w:rPr>
        <w:t xml:space="preserve"> (Notice ARC 7142C, IAB 12/13/23)</w:t>
      </w:r>
      <w:r>
        <w:rPr>
          <w:rFonts w:ascii="Times New Roman" w:hAnsi="Times New Roman"/>
          <w:b w:val="false"/>
          <w:i w:val="false"/>
          <w:color w:val="000000"/>
          <w:sz w:val="21"/>
        </w:rPr>
        <w:t>, IAB 2/7/24, effective 3/13/24]</w:t>
      </w:r>
    </w:p>
    <w:p>
      <w:pPr>
        <w:spacing w:before="0" w:after="0"/>
        <w:ind w:left="120"/>
        <w:jc w:val="center"/>
      </w:pPr>
      <w:r>
        <w:rPr>
          <w:rFonts w:ascii="Times New Roman" w:hAnsi="Times New Roman"/>
          <w:b w:val="false"/>
          <w:i w:val="false"/>
          <w:color w:val="000000"/>
          <w:sz w:val="21"/>
        </w:rPr>
        <w:t>[Filed ARC 8745C</w:t>
      </w:r>
      <w:r>
        <w:rPr>
          <w:rFonts w:ascii="Times New Roman" w:hAnsi="Times New Roman"/>
          <w:b w:val="false"/>
          <w:i w:val="false"/>
          <w:color w:val="000000"/>
          <w:sz w:val="21"/>
        </w:rPr>
        <w:t xml:space="preserve"> (Notice ARC 8266C,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2.17.pdf" Type="http://schemas.openxmlformats.org/officeDocument/2006/relationships/hyperlink" Id="rId5"/>
    <Relationship TargetMode="External" Target="https://www.legis.iowa.gov/docs/ico/chapter/92.7.pdf" Type="http://schemas.openxmlformats.org/officeDocument/2006/relationships/hyperlink" Id="rId6"/>
    <Relationship TargetMode="External" Target="https://www.legis.iowa.gov/docs/iac/rule/875.32.12.pdf" Type="http://schemas.openxmlformats.org/officeDocument/2006/relationships/hyperlink" Id="rId7"/>
    <Relationship TargetMode="External" Target="https://www.legis.iowa.gov/docs/ico/chapter/92.pdf" Type="http://schemas.openxmlformats.org/officeDocument/2006/relationships/hyperlink" Id="rId8"/>
    <Relationship TargetMode="External" Target="https://www.legis.iowa.gov/docs/ico/chapter/92.5.pdf" Type="http://schemas.openxmlformats.org/officeDocument/2006/relationships/hyperlink" Id="rId9"/>
    <Relationship TargetMode="External" Target="https://www.legis.iowa.gov/docs/ico/chapter/92.5.pdf" Type="http://schemas.openxmlformats.org/officeDocument/2006/relationships/hyperlink" Id="rId10"/>
    <Relationship TargetMode="External" Target="https://www.legis.iowa.gov/docs/ico/chapter/92.5.pdf" Type="http://schemas.openxmlformats.org/officeDocument/2006/relationships/hyperlink" Id="rId11"/>
    <Relationship TargetMode="External" Target="https://www.legis.iowa.gov/docs/ico/chapter/92.5.pdf" Type="http://schemas.openxmlformats.org/officeDocument/2006/relationships/hyperlink" Id="rId12"/>
    <Relationship TargetMode="External" Target="https://www.legis.iowa.gov/docs/ico/chapter/92.5.pdf" Type="http://schemas.openxmlformats.org/officeDocument/2006/relationships/hyperlink" Id="rId13"/>
    <Relationship TargetMode="External" Target="https://www.legis.iowa.gov/docs/ico/chapter/92.6A.pdf" Type="http://schemas.openxmlformats.org/officeDocument/2006/relationships/hyperlink" Id="rId14"/>
    <Relationship TargetMode="External" Target="https://www.legis.iowa.gov/docs/ico/chapter/92.6A.pdf" Type="http://schemas.openxmlformats.org/officeDocument/2006/relationships/hyperlink" Id="rId15"/>
    <Relationship TargetMode="External" Target="https://www.legis.iowa.gov/docs/ico/chapter/92.6A.pdf" Type="http://schemas.openxmlformats.org/officeDocument/2006/relationships/hyperlink" Id="rId16"/>
    <Relationship TargetMode="External" Target="https://www.legis.iowa.gov/docs/ico/chapter/92.6A.pdf" Type="http://schemas.openxmlformats.org/officeDocument/2006/relationships/hyperlink" Id="rId17"/>
    <Relationship TargetMode="External" Target="https://www.legis.iowa.gov/docs/ico/chapter/92.8.pdf" Type="http://schemas.openxmlformats.org/officeDocument/2006/relationships/hyperlink" Id="rId18"/>
    <Relationship TargetMode="External" Target="https://www.legis.iowa.gov/docs/ico/chapter/10A.519.pdf" Type="http://schemas.openxmlformats.org/officeDocument/2006/relationships/hyperlink" Id="rId19"/>
    <Relationship TargetMode="External" Target="https://www.legis.iowa.gov/docs/ico/chapter/92.8.pdf" Type="http://schemas.openxmlformats.org/officeDocument/2006/relationships/hyperlink" Id="rId20"/>
    <Relationship TargetMode="External" Target="https://www.legis.iowa.gov/docs/iac/rule/875.32.8.pdf" Type="http://schemas.openxmlformats.org/officeDocument/2006/relationships/hyperlink" Id="rId21"/>
    <Relationship TargetMode="External" Target="https://www.legis.iowa.gov/docs/ico/chapter/92.8.pdf" Type="http://schemas.openxmlformats.org/officeDocument/2006/relationships/hyperlink" Id="rId22"/>
    <Relationship TargetMode="External" Target="https://www.legis.iowa.gov/docs/ico/chapter/92.8.pdf" Type="http://schemas.openxmlformats.org/officeDocument/2006/relationships/hyperlink" Id="rId23"/>
    <Relationship TargetMode="External" Target="https://www.legis.iowa.gov/docs/ico/chapter/92.8.pdf" Type="http://schemas.openxmlformats.org/officeDocument/2006/relationships/hyperlink" Id="rId24"/>
    <Relationship TargetMode="External" Target="https://www.legis.iowa.gov/docs/ico/chapter/92.8.pdf" Type="http://schemas.openxmlformats.org/officeDocument/2006/relationships/hyperlink" Id="rId25"/>
    <Relationship TargetMode="External" Target="https://www.legis.iowa.gov/docs/ico/chapter/92.8.pdf" Type="http://schemas.openxmlformats.org/officeDocument/2006/relationships/hyperlink" Id="rId26"/>
    <Relationship TargetMode="External" Target="https://www.legis.iowa.gov/docs/ico/chapter/92.8.pdf" Type="http://schemas.openxmlformats.org/officeDocument/2006/relationships/hyperlink" Id="rId27"/>
    <Relationship TargetMode="External" Target="https://www.legis.iowa.gov/docs/ico/chapter/92.pdf" Type="http://schemas.openxmlformats.org/officeDocument/2006/relationships/hyperlink" Id="rId28"/>
    <Relationship TargetMode="External" Target="https://www.legis.iowa.gov/docs/ico/chapter/92.8.pdf" Type="http://schemas.openxmlformats.org/officeDocument/2006/relationships/hyperlink" Id="rId29"/>
    <Relationship TargetMode="External" Target="https://www.legis.iowa.gov/docs/ico/chapter/92.8.pdf" Type="http://schemas.openxmlformats.org/officeDocument/2006/relationships/hyperlink" Id="rId30"/>
    <Relationship TargetMode="External" Target="https://www.legis.iowa.gov/docs/ico/chapter/92.8.pdf" Type="http://schemas.openxmlformats.org/officeDocument/2006/relationships/hyperlink" Id="rId31"/>
    <Relationship TargetMode="External" Target="https://www.legis.iowa.gov/docs/ico/chapter/92.8.pdf" Type="http://schemas.openxmlformats.org/officeDocument/2006/relationships/hyperlink" Id="rId32"/>
    <Relationship TargetMode="External" Target="https://www.legis.iowa.gov/docs/ico/chapter/92.8.pdf" Type="http://schemas.openxmlformats.org/officeDocument/2006/relationships/hyperlink" Id="rId33"/>
    <Relationship TargetMode="External" Target="https://www.legis.iowa.gov/docs/ico/chapter/92.pdf" Type="http://schemas.openxmlformats.org/officeDocument/2006/relationships/hyperlink" Id="rId34"/>
    <Relationship TargetMode="External" Target="https://www.legis.iowa.gov/docs/ico/chapter/92.8.pdf" Type="http://schemas.openxmlformats.org/officeDocument/2006/relationships/hyperlink" Id="rId35"/>
    <Relationship TargetMode="External" Target="https://www.legis.iowa.gov/docs/ico/chapter/92.8.pdf" Type="http://schemas.openxmlformats.org/officeDocument/2006/relationships/hyperlink" Id="rId36"/>
    <Relationship TargetMode="External" Target="https://www.legis.iowa.gov/docs/ico/chapter/92.8.pdf" Type="http://schemas.openxmlformats.org/officeDocument/2006/relationships/hyperlink" Id="rId37"/>
    <Relationship TargetMode="External" Target="https://www.legis.iowa.gov/docs/ico/chapter/92.8.pdf" Type="http://schemas.openxmlformats.org/officeDocument/2006/relationships/hyperlink" Id="rId38"/>
    <Relationship TargetMode="External" Target="https://www.legis.iowa.gov/docs/ico/chapter/92.8.pdf" Type="http://schemas.openxmlformats.org/officeDocument/2006/relationships/hyperlink" Id="rId39"/>
    <Relationship TargetMode="External" Target="https://www.legis.iowa.gov/docs/iac/rule/875.32.8.pdf" Type="http://schemas.openxmlformats.org/officeDocument/2006/relationships/hyperlink" Id="rId40"/>
    <Relationship TargetMode="External" Target="https://www.legis.iowa.gov/docs/ico/chapter/92.8.pdf" Type="http://schemas.openxmlformats.org/officeDocument/2006/relationships/hyperlink" Id="rId41"/>
    <Relationship TargetMode="External" Target="https://www.legis.iowa.gov/docs/ico/chapter/92.8.pdf" Type="http://schemas.openxmlformats.org/officeDocument/2006/relationships/hyperlink" Id="rId42"/>
    <Relationship TargetMode="External" Target="https://www.legis.iowa.gov/docs/ico/chapter/92.8A.pdf" Type="http://schemas.openxmlformats.org/officeDocument/2006/relationships/hyperlink" Id="rId43"/>
    <Relationship TargetMode="External" Target="https://www.legis.iowa.gov/docs/ico/chapter/92.8.pdf" Type="http://schemas.openxmlformats.org/officeDocument/2006/relationships/hyperlink" Id="rId44"/>
    <Relationship TargetMode="External" Target="https://www.legis.iowa.gov/docs/ico/chapter/92.8A.pdf" Type="http://schemas.openxmlformats.org/officeDocument/2006/relationships/hyperlink" Id="rId45"/>
    <Relationship TargetMode="External" Target="https://www.legis.iowa.gov/docs/ico/chapter/92.pdf" Type="http://schemas.openxmlformats.org/officeDocument/2006/relationships/hyperlink" Id="rId46"/>
    <Relationship TargetMode="External" Target="https://www.legis.iowa.gov/docs/ico/chapter/92.22.pdf" Type="http://schemas.openxmlformats.org/officeDocument/2006/relationships/hyperlink" Id="rId47"/>
    <Relationship TargetMode="External" Target="https://www.legis.iowa.gov/docs/ico/chapter/17A.pdf" Type="http://schemas.openxmlformats.org/officeDocument/2006/relationships/hyperlink" Id="rId48"/>
    <Relationship TargetMode="External" Target="https://www.legis.iowa.gov/docs/ico/chapter/92.22.pdf" Type="http://schemas.openxmlformats.org/officeDocument/2006/relationships/hyperlink" Id="rId4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