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174</w:t>
      </w:r>
    </w:p>
    <w:p>
      <w:pPr>
        <w:spacing w:before="0" w:after="0"/>
        <w:ind w:left="120"/>
        <w:jc w:val="center"/>
      </w:pPr>
      <w:r>
        <w:rPr>
          <w:rFonts w:ascii="Times New Roman" w:hAnsi="Times New Roman"/>
          <w:b w:val="false"/>
          <w:i w:val="false"/>
          <w:color w:val="000000"/>
          <w:sz w:val="21"/>
        </w:rPr>
        <w:t>ELIMINATION TOURNAMENTS</w:t>
      </w:r>
    </w:p>
    <w:p>
      <w:pPr>
        <w:spacing w:before="0" w:after="0"/>
        <w:ind w:left="120"/>
        <w:jc w:val="center"/>
      </w:pPr>
      <w:r>
        <w:rPr>
          <w:rFonts w:ascii="Times New Roman" w:hAnsi="Times New Roman"/>
          <w:b w:val="false"/>
          <w:i w:val="false"/>
          <w:color w:val="000000"/>
          <w:sz w:val="14"/>
        </w:rPr>
        <w:t>[Prior to 9/24/86, Athletics Commissioner[110] Ch 3]</w:t>
      </w:r>
    </w:p>
    <w:p>
      <w:pPr>
        <w:spacing w:before="0" w:after="0"/>
        <w:ind w:left="120"/>
        <w:jc w:val="center"/>
      </w:pPr>
      <w:r>
        <w:rPr>
          <w:rFonts w:ascii="Times New Roman" w:hAnsi="Times New Roman"/>
          <w:b w:val="false"/>
          <w:i w:val="false"/>
          <w:color w:val="000000"/>
          <w:sz w:val="14"/>
        </w:rPr>
        <w:t>[Prior to 10/21/98, see 347—Ch 98]</w:t>
      </w:r>
    </w:p>
    <w:p>
      <w:pPr>
        <w:spacing w:before="0" w:after="0"/>
        <w:ind w:left="120"/>
        <w:jc w:val="center"/>
      </w:pPr>
      <w:r>
        <w:rPr>
          <w:rFonts w:ascii="Times New Roman" w:hAnsi="Times New Roman"/>
          <w:b w:val="false"/>
          <w:i w:val="false"/>
          <w:color w:val="000000"/>
          <w:sz w:val="14"/>
        </w:rPr>
        <w:t>[Prior to 8/16/06, see 875—Ch 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875—174.1</w:t>
      </w:r>
      <w:r>
        <w:rPr>
          <w:rFonts w:ascii="Times New Roman" w:hAnsi="Times New Roman"/>
          <w:b/>
          <w:i w:val="false"/>
          <w:color w:val="000000"/>
          <w:sz w:val="22"/>
        </w:rPr>
        <w:t xml:space="preserve">(90A)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apply to elimination tournaments, which are boxing matches where contestants box one another, two at a time, with one contestant eliminated from the tournament. The elimination continues with winners from the various bouts competing until only one contestant remains undefeated in the weight division. Elimination tournaments are governed by the rules in </w:t>
      </w:r>
      <w:hyperlink r:id="rId5">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xml:space="preserve"> and this chapter. Any conflicts between </w:t>
      </w:r>
      <w:hyperlink r:id="rId6">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xml:space="preserve"> and this chapter will be resolved in favor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875—174.2</w:t>
      </w:r>
      <w:r>
        <w:rPr>
          <w:rFonts w:ascii="Times New Roman" w:hAnsi="Times New Roman"/>
          <w:b/>
          <w:i w:val="false"/>
          <w:color w:val="000000"/>
          <w:sz w:val="22"/>
        </w:rPr>
        <w:t xml:space="preserve">(90A) </w:t>
      </w:r>
      <w:r>
        <w:rPr>
          <w:rFonts w:ascii="Times New Roman" w:hAnsi="Times New Roman"/>
          <w:b/>
          <w:i w:val="false"/>
          <w:color w:val="000000"/>
          <w:sz w:val="22"/>
        </w:rPr>
        <w:t xml:space="preserve">Bouts, rounds and rest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174.2(1)</w:t>
      </w:r>
      <w:r>
        <w:rPr>
          <w:rFonts w:ascii="Times New Roman" w:hAnsi="Times New Roman"/>
          <w:b w:val="false"/>
          <w:i w:val="false"/>
          <w:color w:val="000000"/>
          <w:sz w:val="22"/>
        </w:rPr>
        <w:t> </w:t>
      </w:r>
      <w:r>
        <w:rPr>
          <w:rFonts w:ascii="Times New Roman" w:hAnsi="Times New Roman"/>
          <w:b w:val="false"/>
          <w:i w:val="false"/>
          <w:color w:val="000000"/>
          <w:sz w:val="22"/>
        </w:rPr>
        <w:t>Each bout consists of no more than three rounds. Each round is two minutes in length. A rest period of 90 seconds shall be provided between rounds. No contestant shall be permitted to compete in more than three bouts in any 20-hour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174.2(2)</w:t>
      </w:r>
      <w:r>
        <w:rPr>
          <w:rFonts w:ascii="Times New Roman" w:hAnsi="Times New Roman"/>
          <w:b w:val="false"/>
          <w:i w:val="false"/>
          <w:color w:val="000000"/>
          <w:sz w:val="22"/>
        </w:rPr>
        <w:t> </w:t>
      </w:r>
      <w:r>
        <w:rPr>
          <w:rFonts w:ascii="Times New Roman" w:hAnsi="Times New Roman"/>
          <w:b w:val="false"/>
          <w:i w:val="false"/>
          <w:color w:val="000000"/>
          <w:sz w:val="22"/>
        </w:rPr>
        <w:t>In national elimination tournaments, when the ability and conditioning of the contestants are assured, the athletics commissioner may authorize two contestants to participate in a fourth bout that determines the championship, provided all bouts are comprised of three 90-second rounds. Under no circumstances will any participant be permitted to compete more minutes in any one 20-hour period than is authorized under the rule allowing three bouts consisting of three two-minute rounds as set forth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875—174.3</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Required protective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174.3(1)</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 xml:space="preserve">Practice wraps (training hand wraps) may be used in lieu of compliance with </w:t>
      </w:r>
      <w:hyperlink r:id="rId7">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Gloves weighing 16 ounces shall be worn by both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174.3(2)</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174.3(3)</w:t>
      </w:r>
      <w:r>
        <w:rPr>
          <w:rFonts w:ascii="Times New Roman" w:hAnsi="Times New Roman"/>
          <w:b w:val="false"/>
          <w:i w:val="false"/>
          <w:color w:val="000000"/>
          <w:sz w:val="22"/>
        </w:rPr>
        <w:t> </w:t>
      </w:r>
      <w:r>
        <w:rPr>
          <w:rFonts w:ascii="Times New Roman" w:hAnsi="Times New Roman"/>
          <w:b w:val="false"/>
          <w:i/>
          <w:color w:val="000000"/>
          <w:sz w:val="22"/>
        </w:rPr>
        <w:t xml:space="preserve">Head protection. </w:t>
      </w:r>
      <w:r>
        <w:rPr>
          <w:rFonts w:ascii="Times New Roman" w:hAnsi="Times New Roman"/>
          <w:b w:val="false"/>
          <w:i w:val="false"/>
          <w:color w:val="000000"/>
          <w:sz w:val="22"/>
        </w:rPr>
        <w:t>The promoter shall provide and the contestants shall wear protective headgear unless the contestant signs a waiver from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174.3(4)</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A mouthpiece shall be worn by all contestants throughout the bout. If the mouthpiece is knocked from a contestant’s mouth, it shall be replaced with no penalty. Any contestant who deliberately spits out a mouthpiece shall be cautioned the first time, the referee shall deduct one point from each judge’s scorecard the second time and the contestant will be disqualified the third time. Before being replaced, the mouthpiece will be washed.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174.3(5)</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will be secured in a manner that it will not interfere with the vision or safety of either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875—174.4</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any contestant will be permitted to box an opponent with a weight differential greater than the following:</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Contestants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Weight Differential</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Under 135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135-160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160-190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Over 190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No restriction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875—174.5</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 xml:space="preserve">In determining a technical knockout (TKO) under </w:t>
      </w:r>
      <w:hyperlink r:id="rId8">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a down includes a standing eight count where a contestant is still standing but is in a semiconscious state and cannot, in the opinion of the referee, continue the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875—174.6</w:t>
      </w:r>
      <w:r>
        <w:rPr>
          <w:rFonts w:ascii="Times New Roman" w:hAnsi="Times New Roman"/>
          <w:b/>
          <w:i w:val="false"/>
          <w:color w:val="000000"/>
          <w:sz w:val="22"/>
        </w:rPr>
        <w:t xml:space="preserve">(90A) </w:t>
      </w:r>
      <w:r>
        <w:rPr>
          <w:rFonts w:ascii="Times New Roman" w:hAnsi="Times New Roman"/>
          <w:b/>
          <w:i w:val="false"/>
          <w:color w:val="000000"/>
          <w:sz w:val="22"/>
        </w:rPr>
        <w:t xml:space="preserve">Suspension. </w:t>
      </w:r>
      <w:r>
        <w:rPr>
          <w:rFonts w:ascii="Times New Roman" w:hAnsi="Times New Roman"/>
          <w:b w:val="false"/>
          <w:i w:val="false"/>
          <w:color w:val="000000"/>
          <w:sz w:val="22"/>
        </w:rPr>
        <w:t>A contestant who suffers a knockout or where the referee stops a fight on a technical knockout (TKO) shall not be permitted to box in the state for a period of 30 days. Before being permitted to fight again, the contestant shall be examined by a physician or physician assistant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875—174.7</w:t>
      </w:r>
      <w:r>
        <w:rPr>
          <w:rFonts w:ascii="Times New Roman" w:hAnsi="Times New Roman"/>
          <w:b/>
          <w:i w:val="false"/>
          <w:color w:val="000000"/>
          <w:sz w:val="22"/>
        </w:rPr>
        <w:t xml:space="preserve">(90A) </w:t>
      </w:r>
      <w:r>
        <w:rPr>
          <w:rFonts w:ascii="Times New Roman" w:hAnsi="Times New Roman"/>
          <w:b/>
          <w:i w:val="false"/>
          <w:color w:val="000000"/>
          <w:sz w:val="22"/>
        </w:rPr>
        <w:t xml:space="preserve">Training requirements. </w:t>
      </w:r>
      <w:r>
        <w:rPr>
          <w:rFonts w:ascii="Times New Roman" w:hAnsi="Times New Roman"/>
          <w:b w:val="false"/>
          <w:i w:val="false"/>
          <w:color w:val="000000"/>
          <w:sz w:val="22"/>
        </w:rPr>
        <w:t>Each contestant will have been involved in conditioning for at least 30 days prior to competing in any elimination tournament. Conditioning means a combination of roadwork or jogging and usual training center conditioning exercises. The promoter shall obtain from each contestant prior to the physical examination a written declaration from the contestant, witnessed by at least one other person, that the contestant has met these training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875—174.8</w:t>
      </w:r>
      <w:r>
        <w:rPr>
          <w:rFonts w:ascii="Times New Roman" w:hAnsi="Times New Roman"/>
          <w:b/>
          <w:i w:val="false"/>
          <w:color w:val="000000"/>
          <w:sz w:val="22"/>
        </w:rPr>
        <w:t xml:space="preserve">(90A) </w:t>
      </w:r>
      <w:r>
        <w:rPr>
          <w:rFonts w:ascii="Times New Roman" w:hAnsi="Times New Roman"/>
          <w:b/>
          <w:i w:val="false"/>
          <w:color w:val="000000"/>
          <w:sz w:val="22"/>
        </w:rPr>
        <w:t xml:space="preserve">Judges. </w:t>
      </w:r>
      <w:r>
        <w:rPr>
          <w:rFonts w:ascii="Times New Roman" w:hAnsi="Times New Roman"/>
          <w:b w:val="false"/>
          <w:i w:val="false"/>
          <w:color w:val="000000"/>
          <w:sz w:val="22"/>
        </w:rPr>
        <w:t>Three judges, each located on different sides of the ring, will separately score bouts. The referee will not be permitted to act as a judge in scoring a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875—174.9</w:t>
      </w:r>
      <w:r>
        <w:rPr>
          <w:rFonts w:ascii="Times New Roman" w:hAnsi="Times New Roman"/>
          <w:b/>
          <w:i w:val="false"/>
          <w:color w:val="000000"/>
          <w:sz w:val="22"/>
        </w:rPr>
        <w:t xml:space="preserve">(90A) </w:t>
      </w:r>
      <w:r>
        <w:rPr>
          <w:rFonts w:ascii="Times New Roman" w:hAnsi="Times New Roman"/>
          <w:b/>
          <w:i w:val="false"/>
          <w:color w:val="000000"/>
          <w:sz w:val="22"/>
        </w:rPr>
        <w:t xml:space="preserve">Impartiality of timekeeper. </w:t>
      </w:r>
      <w:r>
        <w:rPr>
          <w:rFonts w:ascii="Times New Roman" w:hAnsi="Times New Roman"/>
          <w:b w:val="false"/>
          <w:i w:val="false"/>
          <w:color w:val="000000"/>
          <w:sz w:val="22"/>
        </w:rPr>
        <w:t>The use of lights on each ring post to indicate the final seconds of a round shall not be considered as signals to interested parties. Corner lights may be used only if consistently activated throughout the elimination tournament and all contestants and officials are informed prior to the start of the tournament about the information conveyed by the round lights.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875—174.10</w:t>
      </w:r>
      <w:r>
        <w:rPr>
          <w:rFonts w:ascii="Times New Roman" w:hAnsi="Times New Roman"/>
          <w:b/>
          <w:i w:val="false"/>
          <w:color w:val="000000"/>
          <w:sz w:val="22"/>
        </w:rPr>
        <w:t xml:space="preserve">(90A) </w:t>
      </w:r>
      <w:r>
        <w:rPr>
          <w:rFonts w:ascii="Times New Roman" w:hAnsi="Times New Roman"/>
          <w:b/>
          <w:i w:val="false"/>
          <w:color w:val="000000"/>
          <w:sz w:val="22"/>
        </w:rPr>
        <w:t xml:space="preserve">Ringside. </w:t>
      </w:r>
      <w:r>
        <w:rPr>
          <w:rFonts w:ascii="Times New Roman" w:hAnsi="Times New Roman"/>
          <w:b w:val="false"/>
          <w:i w:val="false"/>
          <w:color w:val="000000"/>
          <w:sz w:val="22"/>
        </w:rPr>
        <w:t>No person may sit or stand at ringside unless authorized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5/4/81—published 5/27/81, effective 5/4/81]</w:t>
      </w:r>
    </w:p>
    <w:p>
      <w:pPr>
        <w:spacing w:before="0" w:after="0"/>
        <w:ind w:left="120"/>
        <w:jc w:val="center"/>
      </w:pPr>
      <w:r>
        <w:rPr>
          <w:rFonts w:ascii="Times New Roman" w:hAnsi="Times New Roman"/>
          <w:b w:val="false"/>
          <w:i w:val="false"/>
          <w:color w:val="000000"/>
          <w:sz w:val="21"/>
        </w:rPr>
        <w:t>[Filed 1/8/82, Notice 11/25/81—published 2/3/82, effective 3/10/82]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8840C</w:t>
      </w:r>
      <w:r>
        <w:rPr>
          <w:rFonts w:ascii="Times New Roman" w:hAnsi="Times New Roman"/>
          <w:b w:val="false"/>
          <w:i w:val="false"/>
          <w:color w:val="000000"/>
          <w:sz w:val="21"/>
        </w:rPr>
        <w:t xml:space="preserve"> (Notice ARC 8392C,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173.pdf" Type="http://schemas.openxmlformats.org/officeDocument/2006/relationships/hyperlink" Id="rId5"/>
    <Relationship TargetMode="External" Target="https://www.legis.iowa.gov/docs/iac/chapter/875.173.pdf" Type="http://schemas.openxmlformats.org/officeDocument/2006/relationships/hyperlink" Id="rId6"/>
    <Relationship TargetMode="External" Target="https://www.legis.iowa.gov/docs/iac/chapter/875.173.pdf" Type="http://schemas.openxmlformats.org/officeDocument/2006/relationships/hyperlink" Id="rId7"/>
    <Relationship TargetMode="External" Target="https://www.legis.iowa.gov/docs/iac/chapter/875.173.pdf" Type="http://schemas.openxmlformats.org/officeDocument/2006/relationships/hyperlink" Id="rId8"/>
    <Relationship TargetMode="External" Target="https://www.legis.iowa.gov/docs/ico/chapter/90A.2.pdf" Type="http://schemas.openxmlformats.org/officeDocument/2006/relationships/hyperlink" Id="rId9"/>
    <Relationship TargetMode="External" Target="https://www.legis.iowa.gov/docs/ico/chapter/90A.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