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CONSTRUCTION—REGISTRATION AND BONDING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CONSTRUCTION CONTRACTOR REGISTRATION</w:t>
      </w:r>
    </w:p>
    <w:p>
      <w:pPr>
        <w:spacing w:before="0" w:after="0"/>
        <w:ind w:left="120"/>
        <w:jc w:val="center"/>
      </w:pPr>
      <w:r>
        <w:rPr>
          <w:rFonts w:ascii="Times New Roman" w:hAnsi="Times New Roman"/>
          <w:b w:val="false"/>
          <w:i w:val="false"/>
          <w:color w:val="000000"/>
          <w:sz w:val="14"/>
        </w:rPr>
        <w:t>[Prior to 10/21/98, see 347—Ch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875—150.1</w:t>
      </w:r>
      <w:r>
        <w:rPr>
          <w:rFonts w:ascii="Times New Roman" w:hAnsi="Times New Roman"/>
          <w:b/>
          <w:i w:val="false"/>
          <w:color w:val="000000"/>
          <w:sz w:val="22"/>
        </w:rPr>
        <w:t xml:space="preserve">(91C)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implements Iowa Code chapter </w:t>
      </w:r>
      <w:hyperlink r:id="rId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The rules in this chapter apply to all construction contractors, except for a person who earns less than $2,000 annually or who performs work or has work performed on the person’s own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6">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person who engages in the business of construction as the term is defined in rule </w:t>
      </w:r>
      <w:hyperlink r:id="rId7">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means deliver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“Same phase of construction”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875—150.3</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Before performing any construction work in this state, a contractor shall be registered with the department. A joint venture is an independent entity and is registered independently.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10">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r>
        <w:rPr>
          <w:rFonts w:ascii="Times New Roman" w:hAnsi="Times New Roman"/>
          <w:b w:val="false"/>
          <w:i w:val="false"/>
          <w:color w:val="000000"/>
          <w:sz w:val="22"/>
        </w:rPr>
        <w:t>150.5(1)</w:t>
      </w:r>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875—150.7</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number issuance. </w:t>
      </w:r>
      <w:r>
        <w:rPr>
          <w:rFonts w:ascii="Times New Roman" w:hAnsi="Times New Roman"/>
          <w:b w:val="false"/>
          <w:i w:val="false"/>
          <w:color w:val="000000"/>
          <w:sz w:val="22"/>
        </w:rPr>
        <w:t>Within 30 days of receipt of a completed application, the director will issue to the contractor a registration number. The registration number will consist of the letter “C” followed by six unique digits.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875—150.8</w:t>
      </w:r>
      <w:r>
        <w:rPr>
          <w:rFonts w:ascii="Times New Roman" w:hAnsi="Times New Roman"/>
          <w:b/>
          <w:i w:val="false"/>
          <w:color w:val="000000"/>
          <w:sz w:val="22"/>
        </w:rPr>
        <w:t xml:space="preserve">(91C) </w:t>
      </w:r>
      <w:r>
        <w:rPr>
          <w:rFonts w:ascii="Times New Roman" w:hAnsi="Times New Roman"/>
          <w:b/>
          <w:i w:val="false"/>
          <w:color w:val="000000"/>
          <w:sz w:val="22"/>
        </w:rPr>
        <w:t xml:space="preserve">Workers’ compensation insurance cancellation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150.8(1)</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coverage. </w:t>
      </w:r>
      <w:r>
        <w:rPr>
          <w:rFonts w:ascii="Times New Roman" w:hAnsi="Times New Roman"/>
          <w:b w:val="false"/>
          <w:i w:val="false"/>
          <w:color w:val="000000"/>
          <w:sz w:val="22"/>
        </w:rPr>
        <w:t>The department shall be notified by the insurance company carrying the contractor’s workers’ compensation insurance at the time of cancellation. The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workers’ compensation coverage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150.8(2)</w:t>
      </w:r>
      <w:r>
        <w:rPr>
          <w:rFonts w:ascii="Times New Roman" w:hAnsi="Times New Roman"/>
          <w:b w:val="false"/>
          <w:i w:val="false"/>
          <w:color w:val="000000"/>
          <w:sz w:val="22"/>
        </w:rPr>
        <w:t> </w:t>
      </w:r>
      <w:r>
        <w:rPr>
          <w:rFonts w:ascii="Times New Roman" w:hAnsi="Times New Roman"/>
          <w:b w:val="false"/>
          <w:i/>
          <w:color w:val="000000"/>
          <w:sz w:val="22"/>
        </w:rPr>
        <w:t xml:space="preserve">Self-insured contractors. </w:t>
      </w:r>
      <w:r>
        <w:rPr>
          <w:rFonts w:ascii="Times New Roman" w:hAnsi="Times New Roman"/>
          <w:b w:val="false"/>
          <w:i w:val="false"/>
          <w:color w:val="000000"/>
          <w:sz w:val="22"/>
        </w:rPr>
        <w:t>The contractor shall notify the department ten days prior to any cessation in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150.8(3)</w:t>
      </w:r>
      <w:r>
        <w:rPr>
          <w:rFonts w:ascii="Times New Roman" w:hAnsi="Times New Roman"/>
          <w:b w:val="false"/>
          <w:i w:val="false"/>
          <w:color w:val="000000"/>
          <w:sz w:val="22"/>
        </w:rPr>
        <w:t> </w:t>
      </w:r>
      <w:r>
        <w:rPr>
          <w:rFonts w:ascii="Times New Roman" w:hAnsi="Times New Roman"/>
          <w:b w:val="false"/>
          <w:i/>
          <w:color w:val="000000"/>
          <w:sz w:val="22"/>
        </w:rPr>
        <w:t xml:space="preserve">Noninsured contractors. </w:t>
      </w:r>
      <w:r>
        <w:rPr>
          <w:rFonts w:ascii="Times New Roman" w:hAnsi="Times New Roman"/>
          <w:b w:val="false"/>
          <w:i w:val="false"/>
          <w:color w:val="000000"/>
          <w:sz w:val="22"/>
        </w:rPr>
        <w:t>The contractor shall notify the department whenever the required notice is not posted or in any change in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11">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875—150.10</w:t>
      </w:r>
      <w:r>
        <w:rPr>
          <w:rFonts w:ascii="Times New Roman" w:hAnsi="Times New Roman"/>
          <w:b/>
          <w:i w:val="false"/>
          <w:color w:val="000000"/>
          <w:sz w:val="22"/>
        </w:rPr>
        <w:t xml:space="preserve">(91C) </w:t>
      </w:r>
      <w:r>
        <w:rPr>
          <w:rFonts w:ascii="Times New Roman" w:hAnsi="Times New Roman"/>
          <w:b/>
          <w:i w:val="false"/>
          <w:color w:val="000000"/>
          <w:sz w:val="22"/>
        </w:rPr>
        <w:t xml:space="preserve">Citations/penalties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The director will issue a citation to a contractor where an investigation reveals the contractor has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contractor’s registration information be substantially complete and accurate;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that an out-of-state contractor file a bond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If a citation is issued, the director shall notify the contractor by certified mail of the proposed administrative penalty, if any. The administrative penalties shall be not more than $500 in the case of the first violation and not more than $5,000 per violation in the case of a second or subsequent violation. In proposing a penalty, due consideration will be given to knowledge of the alleged violation, knowledge of requirements of the law, and nature and extent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contractor has 15 working days within which to file a notice of contest of the citation or proposed penalty. The notice of contest is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150.10(4)</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The rules of procedure of the employment appeal board shall apply to administrative hearings on citations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875—150.12</w:t>
      </w:r>
      <w:r>
        <w:rPr>
          <w:rFonts w:ascii="Times New Roman" w:hAnsi="Times New Roman"/>
          <w:b/>
          <w:i w:val="false"/>
          <w:color w:val="000000"/>
          <w:sz w:val="22"/>
        </w:rPr>
        <w:t xml:space="preserve">(91C) </w:t>
      </w:r>
      <w:r>
        <w:rPr>
          <w:rFonts w:ascii="Times New Roman" w:hAnsi="Times New Roman"/>
          <w:b/>
          <w:i w:val="false"/>
          <w:color w:val="000000"/>
          <w:sz w:val="22"/>
        </w:rPr>
        <w:t xml:space="preserve">Concurrent actions. </w:t>
      </w:r>
      <w:r>
        <w:rPr>
          <w:rFonts w:ascii="Times New Roman" w:hAnsi="Times New Roman"/>
          <w:b w:val="false"/>
          <w:i w:val="false"/>
          <w:color w:val="000000"/>
          <w:sz w:val="22"/>
        </w:rPr>
        <w:t xml:space="preserve">Actions under rules </w:t>
      </w:r>
      <w:hyperlink r:id="rId13">
        <w:r>
          <w:rPr>
            <w:rStyle w:val="Hyperlink"/>
            <w:rFonts w:ascii="Times New Roman" w:hAnsi="Times New Roman"/>
            <w:b w:val="false"/>
            <w:i w:val="false"/>
            <w:color w:val="000000"/>
            <w:sz w:val="22"/>
          </w:rPr>
          <w:t>875—150.10</w:t>
        </w:r>
      </w:hyperlink>
      <w:r>
        <w:rPr>
          <w:rFonts w:ascii="Times New Roman" w:hAnsi="Times New Roman"/>
          <w:b w:val="false"/>
          <w:i w:val="false"/>
          <w:color w:val="000000"/>
          <w:sz w:val="22"/>
        </w:rPr>
        <w:t xml:space="preserve">(91C) and </w:t>
      </w:r>
      <w:hyperlink r:id="rId14">
        <w:r>
          <w:rPr>
            <w:rStyle w:val="Hyperlink"/>
            <w:rFonts w:ascii="Times New Roman" w:hAnsi="Times New Roman"/>
            <w:b w:val="false"/>
            <w:i w:val="false"/>
            <w:color w:val="000000"/>
            <w:sz w:val="22"/>
          </w:rPr>
          <w:t>875—150.11(91C)</w:t>
        </w:r>
      </w:hyperlink>
      <w:r>
        <w:rPr>
          <w:rFonts w:ascii="Times New Roman" w:hAnsi="Times New Roman"/>
          <w:b w:val="false"/>
          <w:i w:val="false"/>
          <w:color w:val="000000"/>
          <w:sz w:val="22"/>
        </w:rPr>
        <w:t xml:space="preserve"> may proceed at the same time against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875—150.13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12/9/88, Notice 10/5/88—published 12/28/88, effective 2/15/89]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4/26/89—published 5/17/89, effective 4/26/89]</w:t>
      </w:r>
    </w:p>
    <w:p>
      <w:pPr>
        <w:spacing w:before="0" w:after="0"/>
        <w:ind w:left="120"/>
        <w:jc w:val="center"/>
      </w:pPr>
      <w:r>
        <w:rPr>
          <w:rFonts w:ascii="Times New Roman" w:hAnsi="Times New Roman"/>
          <w:b w:val="false"/>
          <w:i w:val="false"/>
          <w:color w:val="000000"/>
          <w:sz w:val="21"/>
        </w:rPr>
        <w:t>[Filed 10/26/89, Notice 5/17/89—published 11/15/89, effective 12/29/89]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2/7/97, Notice 8/14/96—published 2/26/97, effective 4/4/97]</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11/3/06, Notice 9/27/06—published 11/22/06, effective 1/1/07]</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7876B, IAB 6/17/09, effective 7/1/09]</w:t>
      </w:r>
    </w:p>
    <w:p>
      <w:pPr>
        <w:spacing w:before="0" w:after="0"/>
        <w:ind w:left="120"/>
        <w:jc w:val="center"/>
      </w:pPr>
      <w:r>
        <w:rPr>
          <w:rFonts w:ascii="Times New Roman" w:hAnsi="Times New Roman"/>
          <w:b w:val="false"/>
          <w:i w:val="false"/>
          <w:color w:val="000000"/>
          <w:sz w:val="21"/>
        </w:rPr>
        <w:t>[Filed ARC 8035B</w:t>
      </w:r>
      <w:r>
        <w:rPr>
          <w:rFonts w:ascii="Times New Roman" w:hAnsi="Times New Roman"/>
          <w:b w:val="false"/>
          <w:i w:val="false"/>
          <w:color w:val="000000"/>
          <w:sz w:val="21"/>
        </w:rPr>
        <w:t xml:space="preserve"> (Notice ARC 7875B, IAB 6/17/09)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Emergency ARC 8812B, IAB 6/2/10, effective 7/1/10]</w:t>
      </w:r>
    </w:p>
    <w:p>
      <w:pPr>
        <w:spacing w:before="0" w:after="0"/>
        <w:ind w:left="120"/>
        <w:jc w:val="center"/>
      </w:pPr>
      <w:r>
        <w:rPr>
          <w:rFonts w:ascii="Times New Roman" w:hAnsi="Times New Roman"/>
          <w:b w:val="false"/>
          <w:i w:val="false"/>
          <w:color w:val="000000"/>
          <w:sz w:val="21"/>
        </w:rPr>
        <w:t>[Filed ARC 8984B</w:t>
      </w:r>
      <w:r>
        <w:rPr>
          <w:rFonts w:ascii="Times New Roman" w:hAnsi="Times New Roman"/>
          <w:b w:val="false"/>
          <w:i w:val="false"/>
          <w:color w:val="000000"/>
          <w:sz w:val="21"/>
        </w:rPr>
        <w:t xml:space="preserve"> (Notice ARC 8818B,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3059C</w:t>
      </w:r>
      <w:r>
        <w:rPr>
          <w:rFonts w:ascii="Times New Roman" w:hAnsi="Times New Roman"/>
          <w:b w:val="false"/>
          <w:i w:val="false"/>
          <w:color w:val="000000"/>
          <w:sz w:val="21"/>
        </w:rPr>
        <w:t xml:space="preserve"> (Notice ARC 2965C,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3686C</w:t>
      </w:r>
      <w:r>
        <w:rPr>
          <w:rFonts w:ascii="Times New Roman" w:hAnsi="Times New Roman"/>
          <w:b w:val="false"/>
          <w:i w:val="false"/>
          <w:color w:val="000000"/>
          <w:sz w:val="21"/>
        </w:rPr>
        <w:t xml:space="preserve"> (Notice ARC 3565C,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6102C</w:t>
      </w:r>
      <w:r>
        <w:rPr>
          <w:rFonts w:ascii="Times New Roman" w:hAnsi="Times New Roman"/>
          <w:b w:val="false"/>
          <w:i w:val="false"/>
          <w:color w:val="000000"/>
          <w:sz w:val="21"/>
        </w:rPr>
        <w:t xml:space="preserve"> (Notice ARC 5959C, IAB 10/6/21)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8833C</w:t>
      </w:r>
      <w:r>
        <w:rPr>
          <w:rFonts w:ascii="Times New Roman" w:hAnsi="Times New Roman"/>
          <w:b w:val="false"/>
          <w:i w:val="false"/>
          <w:color w:val="000000"/>
          <w:sz w:val="21"/>
        </w:rPr>
        <w:t xml:space="preserve"> (Notice ARC 8375C,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(2/15/89) delayed 70 days by the Administrative Rules Review Committee at its January 5, 1989,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C.pdf" Type="http://schemas.openxmlformats.org/officeDocument/2006/relationships/hyperlink" Id="rId5"/>
    <Relationship TargetMode="External" Target="https://www.legis.iowa.gov/docs/iac/rule/871.23.82.pdf" Type="http://schemas.openxmlformats.org/officeDocument/2006/relationships/hyperlink" Id="rId6"/>
    <Relationship TargetMode="External" Target="https://www.legis.iowa.gov/docs/iac/rule/871.23.82.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87.11.pdf" Type="http://schemas.openxmlformats.org/officeDocument/2006/relationships/hyperlink" Id="rId9"/>
    <Relationship TargetMode="External" Target="https://www.legis.iowa.gov/docs/ico/chapter/314.1.pdf" Type="http://schemas.openxmlformats.org/officeDocument/2006/relationships/hyperlink" Id="rId10"/>
    <Relationship TargetMode="External" Target="https://www.legis.iowa.gov/docs/ico/chapter/88.pdf" Type="http://schemas.openxmlformats.org/officeDocument/2006/relationships/hyperlink" Id="rId11"/>
    <Relationship TargetMode="External" Target="https://www.legis.iowa.gov/docs/ico/chapter/91C.pdf" Type="http://schemas.openxmlformats.org/officeDocument/2006/relationships/hyperlink" Id="rId12"/>
    <Relationship TargetMode="External" Target="https://www.legis.iowa.gov/docs/iac/rule/875.150.10.pdf" Type="http://schemas.openxmlformats.org/officeDocument/2006/relationships/hyperlink" Id="rId13"/>
    <Relationship TargetMode="External" Target="https://www.legis.iowa.gov/docs/iac/rule/875.150.11.pdf" Type="http://schemas.openxmlformats.org/officeDocument/2006/relationships/hyperlink" Id="rId14"/>
    <Relationship TargetMode="External" Target="https://www.legis.iowa.gov/docs/ico/chapter/91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