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140</w:t>
      </w:r>
    </w:p>
    <w:p>
      <w:pPr>
        <w:spacing w:before="0" w:after="0"/>
        <w:ind w:left="120"/>
        <w:jc w:val="center"/>
      </w:pPr>
      <w:r>
        <w:rPr>
          <w:rFonts w:ascii="Times New Roman" w:hAnsi="Times New Roman"/>
          <w:b w:val="false"/>
          <w:i w:val="false"/>
          <w:color w:val="000000"/>
          <w:sz w:val="21"/>
        </w:rPr>
        <w:t>PUBLIC SAFETY/EMERGENCY RESPONSE RIGHT TO KNOW</w:t>
      </w:r>
    </w:p>
    <w:p>
      <w:pPr>
        <w:spacing w:before="0" w:after="0"/>
        <w:ind w:left="120"/>
        <w:jc w:val="center"/>
      </w:pPr>
      <w:r>
        <w:rPr>
          <w:rFonts w:ascii="Times New Roman" w:hAnsi="Times New Roman"/>
          <w:b w:val="false"/>
          <w:i w:val="false"/>
          <w:color w:val="000000"/>
          <w:sz w:val="14"/>
        </w:rPr>
        <w:t>[Prior to 9/24/86, Labor, Bureau of[530]]</w:t>
      </w:r>
    </w:p>
    <w:p>
      <w:pPr>
        <w:spacing w:before="0" w:after="0"/>
        <w:ind w:left="120"/>
        <w:jc w:val="center"/>
      </w:pPr>
      <w:r>
        <w:rPr>
          <w:rFonts w:ascii="Times New Roman" w:hAnsi="Times New Roman"/>
          <w:b w:val="false"/>
          <w:i w:val="false"/>
          <w:color w:val="000000"/>
          <w:sz w:val="14"/>
        </w:rPr>
        <w:t>[Prior to 10/21/98, see 347—Ch 140]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875—140.1</w:t>
      </w:r>
      <w:r>
        <w:rPr>
          <w:rFonts w:ascii="Times New Roman" w:hAnsi="Times New Roman"/>
          <w:b/>
          <w:i w:val="false"/>
          <w:color w:val="000000"/>
          <w:sz w:val="22"/>
        </w:rPr>
        <w:t xml:space="preserve">(89B) </w:t>
      </w:r>
      <w:r>
        <w:rPr>
          <w:rFonts w:ascii="Times New Roman" w:hAnsi="Times New Roman"/>
          <w:b/>
          <w:i w:val="false"/>
          <w:color w:val="000000"/>
          <w:sz w:val="22"/>
        </w:rPr>
        <w:t xml:space="preserve">Employer waiver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140.1(1)</w:t>
      </w:r>
      <w:r>
        <w:rPr>
          <w:rFonts w:ascii="Times New Roman" w:hAnsi="Times New Roman"/>
          <w:b w:val="false"/>
          <w:i w:val="false"/>
          <w:color w:val="000000"/>
          <w:sz w:val="22"/>
        </w:rPr>
        <w:t> </w:t>
      </w:r>
      <w:r>
        <w:rPr>
          <w:rFonts w:ascii="Times New Roman" w:hAnsi="Times New Roman"/>
          <w:b w:val="false"/>
          <w:i w:val="false"/>
          <w:color w:val="000000"/>
          <w:sz w:val="22"/>
        </w:rPr>
        <w:t>An employer may, in writing, apply to the commissioner for a waiver for less stringent sign posting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has the burden of proof to show that compliance imposes an undue hardship and that the less stringent sign posting requirements as proposed by the employer offer substantially the same degree of notice and protection to emergency responders as if Iowa Code section </w:t>
      </w:r>
      <w:hyperlink r:id="rId5">
        <w:r>
          <w:rPr>
            <w:rStyle w:val="Hyperlink"/>
            <w:rFonts w:ascii="Times New Roman" w:hAnsi="Times New Roman"/>
            <w:b w:val="false"/>
            <w:i w:val="false"/>
            <w:color w:val="000000"/>
            <w:sz w:val="22"/>
          </w:rPr>
          <w:t>89B.14</w:t>
        </w:r>
      </w:hyperlink>
      <w:r>
        <w:rPr>
          <w:rFonts w:ascii="Times New Roman" w:hAnsi="Times New Roman"/>
          <w:b w:val="false"/>
          <w:i w:val="false"/>
          <w:color w:val="000000"/>
          <w:sz w:val="22"/>
        </w:rPr>
        <w:t xml:space="preserve"> were strictly applied.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875—140.2</w:t>
      </w:r>
      <w:r>
        <w:rPr>
          <w:rFonts w:ascii="Times New Roman" w:hAnsi="Times New Roman"/>
          <w:b/>
          <w:i w:val="false"/>
          <w:color w:val="000000"/>
          <w:sz w:val="22"/>
        </w:rPr>
        <w:t xml:space="preserve">(89B) </w:t>
      </w:r>
      <w:r>
        <w:rPr>
          <w:rFonts w:ascii="Times New Roman" w:hAnsi="Times New Roman"/>
          <w:b/>
          <w:i w:val="false"/>
          <w:color w:val="000000"/>
          <w:sz w:val="22"/>
        </w:rPr>
        <w:t xml:space="preserve">Agreement between an employer and fire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140.2(1)</w:t>
      </w:r>
      <w:r>
        <w:rPr>
          <w:rFonts w:ascii="Times New Roman" w:hAnsi="Times New Roman"/>
          <w:b w:val="false"/>
          <w:i w:val="false"/>
          <w:color w:val="000000"/>
          <w:sz w:val="22"/>
        </w:rPr>
        <w:t> </w:t>
      </w:r>
      <w:r>
        <w:rPr>
          <w:rFonts w:ascii="Times New Roman" w:hAnsi="Times New Roman"/>
          <w:b w:val="false"/>
          <w:i w:val="false"/>
          <w:color w:val="000000"/>
          <w:sz w:val="22"/>
        </w:rPr>
        <w:t>In instances where the posting of a sign for each hazardous chemical would be ambiguous or repetitive or where space is limited by the physical characteristics of the structure, or in situations, such as in a building, structure, or location where a wide variety of materials may be stored having varying degrees of hazards, the identifying symbol shall indicate the most severe degree of hazard in each category except when a high hazard rating would be misleading because of the presence of an insignificant quantity of the material requiring the 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140.2(2)</w:t>
      </w:r>
      <w:r>
        <w:rPr>
          <w:rFonts w:ascii="Times New Roman" w:hAnsi="Times New Roman"/>
          <w:b w:val="false"/>
          <w:i w:val="false"/>
          <w:color w:val="000000"/>
          <w:sz w:val="22"/>
        </w:rPr>
        <w:t> </w:t>
      </w:r>
      <w:r>
        <w:rPr>
          <w:rFonts w:ascii="Times New Roman" w:hAnsi="Times New Roman"/>
          <w:b w:val="false"/>
          <w:i w:val="false"/>
          <w:color w:val="000000"/>
          <w:sz w:val="22"/>
        </w:rPr>
        <w:t>The employer and the local fire department may enter into a written agreement providing for the posting of signs for the most hazardous chemical in each principal category. The agreement is subject to the approval of the division pursuant to the procedure for a waiver. If the waiver is approved, the employer shall post in the same location as the required posted signs a sign stating: “Signs not posted for all hazardous chemicals” in block letters at least three inches in height.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875—140.3</w:t>
      </w:r>
      <w:r>
        <w:rPr>
          <w:rFonts w:ascii="Times New Roman" w:hAnsi="Times New Roman"/>
          <w:b/>
          <w:i w:val="false"/>
          <w:color w:val="000000"/>
          <w:sz w:val="22"/>
        </w:rPr>
        <w:t xml:space="preserve">(89B) </w:t>
      </w:r>
      <w:r>
        <w:rPr>
          <w:rFonts w:ascii="Times New Roman" w:hAnsi="Times New Roman"/>
          <w:b/>
          <w:i w:val="false"/>
          <w:color w:val="000000"/>
          <w:sz w:val="22"/>
        </w:rPr>
        <w:t xml:space="preserve">Information submitted to local fire department. </w:t>
      </w:r>
      <w:r>
        <w:rPr>
          <w:rFonts w:ascii="Times New Roman" w:hAnsi="Times New Roman"/>
          <w:b w:val="false"/>
          <w:i w:val="false"/>
          <w:color w:val="000000"/>
          <w:sz w:val="22"/>
        </w:rPr>
        <w:t>The employer shall submit to the local fire department a list of hazardous chemicals that the employer’s facility consistently generates, uses, stores, or transports. The employer shall submit updated information as it becomes available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140.3(1)</w:t>
      </w:r>
      <w:r>
        <w:rPr>
          <w:rFonts w:ascii="Times New Roman" w:hAnsi="Times New Roman"/>
          <w:b w:val="false"/>
          <w:i w:val="false"/>
          <w:color w:val="000000"/>
          <w:sz w:val="22"/>
        </w:rPr>
        <w:t> </w:t>
      </w:r>
      <w:r>
        <w:rPr>
          <w:rFonts w:ascii="Times New Roman" w:hAnsi="Times New Roman"/>
          <w:b w:val="false"/>
          <w:i w:val="false"/>
          <w:color w:val="000000"/>
          <w:sz w:val="22"/>
        </w:rPr>
        <w:t>This rule applies to any amount of a hazardous chemical that meets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1.1, Division 1.2, or Division 1.3 explosive;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2.3 toxic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6.1 toxic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Division 4.3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a U.S. Department of Transportation Radioactive Yellow III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National Fire Protection Association (NFPA) 704-2022 health rating of greater than or equal to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 NFPA 704-2022 flammability rating of 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an NFPA 704-2022 reactivity rating of 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140.3(2)</w:t>
      </w:r>
      <w:r>
        <w:rPr>
          <w:rFonts w:ascii="Times New Roman" w:hAnsi="Times New Roman"/>
          <w:b w:val="false"/>
          <w:i w:val="false"/>
          <w:color w:val="000000"/>
          <w:sz w:val="22"/>
        </w:rPr>
        <w:t> </w:t>
      </w:r>
      <w:r>
        <w:rPr>
          <w:rFonts w:ascii="Times New Roman" w:hAnsi="Times New Roman"/>
          <w:b w:val="false"/>
          <w:i w:val="false"/>
          <w:color w:val="000000"/>
          <w:sz w:val="22"/>
        </w:rPr>
        <w:t>This rule applies to a hazardous chemical that is present in aggregate quantities of 25 gallons of liquid, 250 pounds of nonliquid, or 250 combined pounds of liquid and nonliquid and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NFPA 704-2022 health rating of greater than or equal to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NFPA 704-2022 flammability rating of greater than or equal to 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NFPA 704-2022 reactivity rating of greater than or equal to 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140.3(3)</w:t>
      </w:r>
      <w:r>
        <w:rPr>
          <w:rFonts w:ascii="Times New Roman" w:hAnsi="Times New Roman"/>
          <w:b w:val="false"/>
          <w:i w:val="false"/>
          <w:color w:val="000000"/>
          <w:sz w:val="22"/>
        </w:rPr>
        <w:t> </w:t>
      </w:r>
      <w:r>
        <w:rPr>
          <w:rFonts w:ascii="Times New Roman" w:hAnsi="Times New Roman"/>
          <w:b w:val="false"/>
          <w:i w:val="false"/>
          <w:color w:val="000000"/>
          <w:sz w:val="22"/>
        </w:rPr>
        <w:t>In addition to a list of the hazardous chemicals, the employer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phone number, and email address of the employer’s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the facility where hazardous chemicals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NFPA numerical hazard rating in health, flammability, and reactivity for each hazardous chemical;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that constitutes a special hazard pursuant to NFPA 704-2022, Chapter 5, for each listed chemical;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special hazard information from the safety data sheets that may be relevant.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140.3(4)</w:t>
      </w:r>
      <w:r>
        <w:rPr>
          <w:rFonts w:ascii="Times New Roman" w:hAnsi="Times New Roman"/>
          <w:b w:val="false"/>
          <w:i w:val="false"/>
          <w:color w:val="000000"/>
          <w:sz w:val="22"/>
        </w:rPr>
        <w:t> </w:t>
      </w:r>
      <w:r>
        <w:rPr>
          <w:rFonts w:ascii="Times New Roman" w:hAnsi="Times New Roman"/>
          <w:b w:val="false"/>
          <w:i w:val="false"/>
          <w:color w:val="000000"/>
          <w:sz w:val="22"/>
        </w:rPr>
        <w:t>If requested by the fire department, the employer shall provide to the fire department the information listed in this subrule, unless the fire department tours the facility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diagram that shows the permanent location of each hazardous chemical within the employer’s facility, as well as easily recognizable reference points such as doorways, stairs, and windows;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safety data sheets.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875—140.4</w:t>
      </w:r>
      <w:r>
        <w:rPr>
          <w:rFonts w:ascii="Times New Roman" w:hAnsi="Times New Roman"/>
          <w:b/>
          <w:i w:val="false"/>
          <w:color w:val="000000"/>
          <w:sz w:val="22"/>
        </w:rPr>
        <w:t xml:space="preserve">(89B) </w:t>
      </w:r>
      <w:r>
        <w:rPr>
          <w:rFonts w:ascii="Times New Roman" w:hAnsi="Times New Roman"/>
          <w:b/>
          <w:i w:val="false"/>
          <w:color w:val="000000"/>
          <w:sz w:val="22"/>
        </w:rPr>
        <w:t xml:space="preserve">Procedure for noncompliance. </w:t>
      </w:r>
      <w:r>
        <w:rPr>
          <w:rFonts w:ascii="Times New Roman" w:hAnsi="Times New Roman"/>
          <w:b w:val="false"/>
          <w:i w:val="false"/>
          <w:color w:val="000000"/>
          <w:sz w:val="22"/>
        </w:rPr>
        <w:t>If an employer fails to comply with the requirements of this chapter, the fire chief in the jurisdiction of the employer may file a written complaint with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875—140.5</w:t>
      </w:r>
      <w:r>
        <w:rPr>
          <w:rFonts w:ascii="Times New Roman" w:hAnsi="Times New Roman"/>
          <w:b/>
          <w:i w:val="false"/>
          <w:color w:val="000000"/>
          <w:sz w:val="22"/>
        </w:rPr>
        <w:t xml:space="preserve">(89B) </w:t>
      </w:r>
      <w:r>
        <w:rPr>
          <w:rFonts w:ascii="Times New Roman" w:hAnsi="Times New Roman"/>
          <w:b/>
          <w:i w:val="false"/>
          <w:color w:val="000000"/>
          <w:sz w:val="22"/>
        </w:rPr>
        <w:t xml:space="preserve">Notice of noncompliance. </w:t>
      </w:r>
      <w:r>
        <w:rPr>
          <w:rFonts w:ascii="Times New Roman" w:hAnsi="Times New Roman"/>
          <w:b w:val="false"/>
          <w:i w:val="false"/>
          <w:color w:val="000000"/>
          <w:sz w:val="22"/>
        </w:rPr>
        <w:t>The commissioner may rely on the information provided by the fire chief and immediately issue a notice of noncompliance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140.5(1)</w:t>
      </w:r>
      <w:r>
        <w:rPr>
          <w:rFonts w:ascii="Times New Roman" w:hAnsi="Times New Roman"/>
          <w:b w:val="false"/>
          <w:i w:val="false"/>
          <w:color w:val="000000"/>
          <w:sz w:val="22"/>
        </w:rPr>
        <w:t> </w:t>
      </w:r>
      <w:r>
        <w:rPr>
          <w:rFonts w:ascii="Times New Roman" w:hAnsi="Times New Roman"/>
          <w:b w:val="false"/>
          <w:i w:val="false"/>
          <w:color w:val="000000"/>
          <w:sz w:val="22"/>
        </w:rPr>
        <w:t>Opportunity for hearing. The notice of noncompliance shall be sent by certified mail and set forth that the employer may have an opportunity to be heard upon demand by the employer. In the event the employer demands a hearing, the commissioner may conduct an investigation or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employer does not demand a hearing within 30 days of the receipt of notice of noncompliance, the commissioner shall, without further notice, issue an order for compliance that is a final agency action pursuant to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140.5(3)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issue of noncompliance comes for hearing before the commissioner, the commissioner may, at the conclusion of the hearing, issue an order for compliance that is final agency action pursuant to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dismiss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8752C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30.7</w:t>
        </w:r>
      </w:hyperlink>
      <w:r>
        <w:rPr>
          <w:rFonts w:ascii="Times New Roman" w:hAnsi="Times New Roman"/>
          <w:b w:val="false"/>
          <w:i w:val="false"/>
          <w:color w:val="000000"/>
          <w:sz w:val="22"/>
        </w:rPr>
        <w:t xml:space="preserve"> and chapter 89B.</w:t>
      </w:r>
    </w:p>
    <w:p>
      <w:pPr>
        <w:spacing w:before="0" w:after="0"/>
        <w:ind w:left="120"/>
        <w:jc w:val="center"/>
      </w:pPr>
      <w:r>
        <w:rPr>
          <w:rFonts w:ascii="Times New Roman" w:hAnsi="Times New Roman"/>
          <w:b w:val="false"/>
          <w:i w:val="false"/>
          <w:color w:val="000000"/>
          <w:sz w:val="21"/>
        </w:rPr>
        <w:t>[Filed 3/21/86, Notice 12/18/85—published 4/9/86, effective 11/1/86]</w:t>
      </w:r>
    </w:p>
    <w:p>
      <w:pPr>
        <w:spacing w:before="0" w:after="0"/>
        <w:ind w:left="120"/>
        <w:jc w:val="center"/>
      </w:pPr>
      <w:r>
        <w:rPr>
          <w:rFonts w:ascii="Times New Roman" w:hAnsi="Times New Roman"/>
          <w:b w:val="false"/>
          <w:i w:val="false"/>
          <w:color w:val="000000"/>
          <w:sz w:val="21"/>
        </w:rPr>
        <w:t>[Filed emergency 9/5/86—published 9/24/86, effective 9/24/86]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5/27/88, Notice 9/9/87—published 6/15/88, effective 8/15/88]</w:t>
      </w:r>
    </w:p>
    <w:p>
      <w:pPr>
        <w:spacing w:before="0" w:after="0"/>
        <w:ind w:left="120"/>
        <w:jc w:val="center"/>
      </w:pPr>
      <w:r>
        <w:rPr>
          <w:rFonts w:ascii="Times New Roman" w:hAnsi="Times New Roman"/>
          <w:b w:val="false"/>
          <w:i w:val="false"/>
          <w:color w:val="000000"/>
          <w:sz w:val="21"/>
        </w:rPr>
        <w:t>[Filed 7/8/88, Notice 5/18/88—published 7/27/88, effective 9/1/88]</w:t>
      </w:r>
    </w:p>
    <w:p>
      <w:pPr>
        <w:spacing w:before="0" w:after="0"/>
        <w:ind w:left="120"/>
        <w:jc w:val="center"/>
      </w:pPr>
      <w:r>
        <w:rPr>
          <w:rFonts w:ascii="Times New Roman" w:hAnsi="Times New Roman"/>
          <w:b w:val="false"/>
          <w:i w:val="false"/>
          <w:color w:val="000000"/>
          <w:sz w:val="21"/>
        </w:rPr>
        <w:t>[Filed 8/30/88, Notice 5/18/88—published 9/21/88, effective 11/1/88]</w:t>
      </w:r>
    </w:p>
    <w:p>
      <w:pPr>
        <w:spacing w:before="0" w:after="0"/>
        <w:ind w:left="120"/>
        <w:jc w:val="center"/>
      </w:pPr>
      <w:r>
        <w:rPr>
          <w:rFonts w:ascii="Times New Roman" w:hAnsi="Times New Roman"/>
          <w:b w:val="false"/>
          <w:i w:val="false"/>
          <w:color w:val="000000"/>
          <w:sz w:val="21"/>
        </w:rPr>
        <w:t>[Filed 10/25/91, Notice 8/7/91—published 11/13/91, effective 1/1/92]</w:t>
      </w:r>
    </w:p>
    <w:p>
      <w:pPr>
        <w:spacing w:before="0" w:after="0"/>
        <w:ind w:left="120"/>
        <w:jc w:val="center"/>
      </w:pPr>
      <w:r>
        <w:rPr>
          <w:rFonts w:ascii="Times New Roman" w:hAnsi="Times New Roman"/>
          <w:b w:val="false"/>
          <w:i w:val="false"/>
          <w:color w:val="000000"/>
          <w:sz w:val="21"/>
        </w:rPr>
        <w:t>[Filed 11/25/92, Notice 10/8/92—published 12/23/92, effective 1/27/93]</w:t>
      </w:r>
    </w:p>
    <w:p>
      <w:pPr>
        <w:spacing w:before="0" w:after="0"/>
        <w:ind w:left="120"/>
        <w:jc w:val="center"/>
      </w:pPr>
      <w:r>
        <w:rPr>
          <w:rFonts w:ascii="Times New Roman" w:hAnsi="Times New Roman"/>
          <w:b w:val="false"/>
          <w:i w:val="false"/>
          <w:color w:val="000000"/>
          <w:sz w:val="21"/>
        </w:rPr>
        <w:t>[Filed ARC 2488C</w:t>
      </w:r>
      <w:r>
        <w:rPr>
          <w:rFonts w:ascii="Times New Roman" w:hAnsi="Times New Roman"/>
          <w:b w:val="false"/>
          <w:i w:val="false"/>
          <w:color w:val="000000"/>
          <w:sz w:val="21"/>
        </w:rPr>
        <w:t xml:space="preserve"> (Notice ARC 2394C, IAB 2/3/16)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6289C</w:t>
      </w:r>
      <w:r>
        <w:rPr>
          <w:rFonts w:ascii="Times New Roman" w:hAnsi="Times New Roman"/>
          <w:b w:val="false"/>
          <w:i w:val="false"/>
          <w:color w:val="000000"/>
          <w:sz w:val="21"/>
        </w:rPr>
        <w:t xml:space="preserve"> (Notice ARC 6177C, IAB 2/9/22)</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8752C</w:t>
      </w:r>
      <w:r>
        <w:rPr>
          <w:rFonts w:ascii="Times New Roman" w:hAnsi="Times New Roman"/>
          <w:b w:val="false"/>
          <w:i w:val="false"/>
          <w:color w:val="000000"/>
          <w:sz w:val="21"/>
        </w:rPr>
        <w:t xml:space="preserve"> (Notice ARC 8273C, IAB 10/30/24)</w:t>
      </w:r>
      <w:r>
        <w:rPr>
          <w:rFonts w:ascii="Times New Roman" w:hAnsi="Times New Roman"/>
          <w:b w:val="false"/>
          <w:i w:val="false"/>
          <w:color w:val="000000"/>
          <w:sz w:val="21"/>
        </w:rPr>
        <w:t>, IAB 1/8/25, effective 2/12/25]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B.1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30.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