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 PURPOSE, PROCEDURES AND DEFINITIONS</w:t>
      </w:r>
    </w:p>
    <w:p>
      <w:pPr>
        <w:spacing w:before="0" w:after="0"/>
        <w:ind w:left="120"/>
        <w:jc w:val="center"/>
      </w:pPr>
      <w:r>
        <w:rPr>
          <w:rFonts w:ascii="Times New Roman" w:hAnsi="Times New Roman"/>
          <w:b w:val="false"/>
          <w:i w:val="false"/>
          <w:color w:val="000000"/>
          <w:sz w:val="14"/>
        </w:rPr>
        <w:t>[Prior to 3/21/90, see Voter Registration Commission[845],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821—1.1</w:t>
      </w:r>
      <w:r>
        <w:rPr>
          <w:rFonts w:ascii="Times New Roman" w:hAnsi="Times New Roman"/>
          <w:b/>
          <w:i w:val="false"/>
          <w:color w:val="000000"/>
          <w:sz w:val="22"/>
        </w:rPr>
        <w:t xml:space="preserve">(47) </w:t>
      </w:r>
      <w:r>
        <w:rPr>
          <w:rFonts w:ascii="Times New Roman" w:hAnsi="Times New Roman"/>
          <w:b/>
          <w:i w:val="false"/>
          <w:color w:val="000000"/>
          <w:sz w:val="22"/>
        </w:rPr>
        <w:t xml:space="preserve">Voter registration commission composition. </w:t>
      </w:r>
      <w:r>
        <w:rPr>
          <w:rFonts w:ascii="Times New Roman" w:hAnsi="Times New Roman"/>
          <w:b w:val="false"/>
          <w:i w:val="false"/>
          <w:color w:val="000000"/>
          <w:sz w:val="22"/>
        </w:rPr>
        <w:t>The commission consists of four members: the state commissioner of elections, and the chairpersons of the two state political parties whose candidates for President of the United States or for governor, as the case may be, in the most recent general election, received the greatest and the second greatest number of votes, or their designees, and a person appointed by the president of the Iowa State Association of County Auditors.</w:t>
      </w:r>
    </w:p>
    <w:p>
      <w:pPr>
        <w:spacing w:before="0" w:after="0"/>
        <w:ind w:left="120"/>
        <w:jc w:val="both"/>
      </w:pPr>
      <w:r>
        <w:rPr>
          <w:rFonts w:ascii="Times New Roman" w:hAnsi="Times New Roman"/>
          <w:b/>
          <w:i w:val="false"/>
          <w:color w:val="000000"/>
          <w:sz w:val="22"/>
        </w:rPr>
        <w:t>821—1.2</w:t>
      </w:r>
      <w:r>
        <w:rPr>
          <w:rFonts w:ascii="Times New Roman" w:hAnsi="Times New Roman"/>
          <w:b/>
          <w:i w:val="false"/>
          <w:color w:val="000000"/>
          <w:sz w:val="22"/>
        </w:rPr>
        <w:t xml:space="preserve">(47) </w:t>
      </w:r>
      <w:r>
        <w:rPr>
          <w:rFonts w:ascii="Times New Roman" w:hAnsi="Times New Roman"/>
          <w:b/>
          <w:i w:val="false"/>
          <w:color w:val="000000"/>
          <w:sz w:val="22"/>
        </w:rPr>
        <w:t xml:space="preserve">State registrar of voters. </w:t>
      </w:r>
      <w:r>
        <w:rPr>
          <w:rFonts w:ascii="Times New Roman" w:hAnsi="Times New Roman"/>
          <w:b w:val="false"/>
          <w:i w:val="false"/>
          <w:color w:val="000000"/>
          <w:sz w:val="22"/>
        </w:rPr>
        <w:t>The state commissioner of elections is designated the state registrar of voters. The state registrar is responsible for the regulation of the preservation, preparation and maintenance of voter registration records. This regulation activity is in accordance with the policies of the voter registration commission.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47.7(1)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7883B</w:t>
      </w:r>
      <w:r>
        <w:rPr>
          <w:rFonts w:ascii="Times New Roman" w:hAnsi="Times New Roman"/>
          <w:b w:val="false"/>
          <w:i w:val="false"/>
          <w:color w:val="000000"/>
          <w:sz w:val="16"/>
        </w:rPr>
        <w:t>, IAB 7/1/09, effective 7/1/09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821—1.3</w:t>
      </w:r>
      <w:r>
        <w:rPr>
          <w:rFonts w:ascii="Times New Roman" w:hAnsi="Times New Roman"/>
          <w:b/>
          <w:i w:val="false"/>
          <w:color w:val="000000"/>
          <w:sz w:val="22"/>
        </w:rPr>
        <w:t xml:space="preserve">(47) </w:t>
      </w:r>
      <w:r>
        <w:rPr>
          <w:rFonts w:ascii="Times New Roman" w:hAnsi="Times New Roman"/>
          <w:b/>
          <w:i w:val="false"/>
          <w:color w:val="000000"/>
          <w:sz w:val="22"/>
        </w:rPr>
        <w:t xml:space="preserve">General operating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val="false"/>
          <w:color w:val="000000"/>
          <w:sz w:val="22"/>
        </w:rPr>
        <w:t>The chair of the commission is the state commissioner of elections or the state commissioner’s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val="false"/>
          <w:color w:val="000000"/>
          <w:sz w:val="22"/>
        </w:rPr>
        <w:t>Any member of the commission, including the chair, may make and second any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val="false"/>
          <w:color w:val="000000"/>
          <w:sz w:val="22"/>
        </w:rPr>
        <w:t>To prevail, a motion, declaratory ruling, or ruling in a contested case must receive the votes of a majority of commissioners present and voting.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w:t>
      </w:r>
      <w:r>
        <w:rPr>
          <w:rFonts w:ascii="Times New Roman" w:hAnsi="Times New Roman"/>
          <w:b w:val="false"/>
          <w:i w:val="false"/>
          <w:color w:val="000000"/>
          <w:sz w:val="22"/>
        </w:rPr>
        <w:t> </w:t>
      </w:r>
      <w:r>
        <w:rPr>
          <w:rFonts w:ascii="Times New Roman" w:hAnsi="Times New Roman"/>
          <w:b w:val="false"/>
          <w:i w:val="false"/>
          <w:color w:val="000000"/>
          <w:sz w:val="22"/>
        </w:rPr>
        <w:t>A designee of a statutory member shall present a letter from the statutory member appointing the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w:t>
      </w:r>
      <w:r>
        <w:rPr>
          <w:rFonts w:ascii="Times New Roman" w:hAnsi="Times New Roman"/>
          <w:b w:val="false"/>
          <w:i w:val="false"/>
          <w:color w:val="000000"/>
          <w:sz w:val="22"/>
        </w:rPr>
        <w:t> </w:t>
      </w:r>
      <w:r>
        <w:rPr>
          <w:rFonts w:ascii="Times New Roman" w:hAnsi="Times New Roman"/>
          <w:b w:val="false"/>
          <w:i w:val="false"/>
          <w:color w:val="000000"/>
          <w:sz w:val="22"/>
        </w:rPr>
        <w:t>A quorum of the commission is four members. No official action may be taken in the absence of a quorum.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4493C</w:t>
      </w:r>
      <w:r>
        <w:rPr>
          <w:rFonts w:ascii="Times New Roman" w:hAnsi="Times New Roman"/>
          <w:b w:val="false"/>
          <w:i w:val="false"/>
          <w:color w:val="000000"/>
          <w:sz w:val="16"/>
        </w:rPr>
        <w:t>, IAB 6/5/19, effective 7/10/19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821—1.4</w:t>
      </w:r>
      <w:r>
        <w:rPr>
          <w:rFonts w:ascii="Times New Roman" w:hAnsi="Times New Roman"/>
          <w:b/>
          <w:i w:val="false"/>
          <w:color w:val="000000"/>
          <w:sz w:val="22"/>
        </w:rPr>
        <w:t xml:space="preserve">(47) </w:t>
      </w:r>
      <w:r>
        <w:rPr>
          <w:rFonts w:ascii="Times New Roman" w:hAnsi="Times New Roman"/>
          <w:b/>
          <w:i w:val="false"/>
          <w:color w:val="000000"/>
          <w:sz w:val="22"/>
        </w:rPr>
        <w:t xml:space="preserve">Voter registration staff.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Voter registration system. </w:t>
      </w:r>
      <w:r>
        <w:rPr>
          <w:rFonts w:ascii="Times New Roman" w:hAnsi="Times New Roman"/>
          <w:b w:val="false"/>
          <w:i w:val="false"/>
          <w:color w:val="000000"/>
          <w:sz w:val="22"/>
        </w:rPr>
        <w:t>Under the general direction of the state registrar of voters, the voter registration staff conducts and directs those activities necessary to implement and maintain the statewide voter registration system. The voter registration staff includes clerical and technical personnel temporarily or permanently assigned by the registrar to support the voter registration function.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Intergovernmental relations. </w:t>
      </w:r>
      <w:r>
        <w:rPr>
          <w:rFonts w:ascii="Times New Roman" w:hAnsi="Times New Roman"/>
          <w:b w:val="false"/>
          <w:i w:val="false"/>
          <w:color w:val="000000"/>
          <w:sz w:val="22"/>
        </w:rPr>
        <w:t>The voter registration staff is responsible for working with and assisting county commissioners in performing their voter registration duties under the law, including acquisition of voter registration data processing services, preparation of election registers, maintaining voter registration files, processing registration applications and related activities. The staff is responsible for communicating with state and federal court officials to arrange for the provision of information from voter registration records to the courts for use in the jury selection process. The staff is also responsible for ensuring the transfer of electronic registration data from registration agencies and the department of transportation to the appropriate county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w:t>
      </w:r>
      <w:r>
        <w:rPr>
          <w:rFonts w:ascii="Times New Roman" w:hAnsi="Times New Roman"/>
          <w:b w:val="false"/>
          <w:i w:val="false"/>
          <w:color w:val="000000"/>
          <w:sz w:val="22"/>
        </w:rPr>
        <w:t> </w:t>
      </w:r>
      <w:r>
        <w:rPr>
          <w:rFonts w:ascii="Times New Roman" w:hAnsi="Times New Roman"/>
          <w:b w:val="false"/>
          <w:i/>
          <w:color w:val="000000"/>
          <w:sz w:val="22"/>
        </w:rPr>
        <w:t xml:space="preserve">Staff support to the commission. </w:t>
      </w:r>
      <w:r>
        <w:rPr>
          <w:rFonts w:ascii="Times New Roman" w:hAnsi="Times New Roman"/>
          <w:b w:val="false"/>
          <w:i w:val="false"/>
          <w:color w:val="000000"/>
          <w:sz w:val="22"/>
        </w:rPr>
        <w:t>The registrar and voter registration staff provide support services to the commission as required in the performance of the commission’s official duties.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7883B</w:t>
      </w:r>
      <w:r>
        <w:rPr>
          <w:rFonts w:ascii="Times New Roman" w:hAnsi="Times New Roman"/>
          <w:b w:val="false"/>
          <w:i w:val="false"/>
          <w:color w:val="000000"/>
          <w:sz w:val="16"/>
        </w:rPr>
        <w:t>, IAB 7/1/09, effective 7/1/09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821—1.5</w:t>
      </w:r>
      <w:r>
        <w:rPr>
          <w:rFonts w:ascii="Times New Roman" w:hAnsi="Times New Roman"/>
          <w:b/>
          <w:i w:val="false"/>
          <w:color w:val="000000"/>
          <w:sz w:val="22"/>
        </w:rPr>
        <w:t xml:space="preserve">(47) </w:t>
      </w:r>
      <w:r>
        <w:rPr>
          <w:rFonts w:ascii="Times New Roman" w:hAnsi="Times New Roman"/>
          <w:b/>
          <w:i w:val="false"/>
          <w:color w:val="000000"/>
          <w:sz w:val="22"/>
        </w:rPr>
        <w:t xml:space="preserve">Declaratory ruling by voter registration commission. </w:t>
      </w:r>
      <w:r>
        <w:rPr>
          <w:rFonts w:ascii="Times New Roman" w:hAnsi="Times New Roman"/>
          <w:b w:val="false"/>
          <w:i w:val="false"/>
          <w:color w:val="000000"/>
          <w:sz w:val="22"/>
        </w:rPr>
        <w:t>Any member of the commission or the public may petition the commission for a declaratory ruling as to the applicability of any statutory provision, rule or other written statement of law or policy. The petition must be filed with the registrar at least seven days before the regular or special meeting at which the petition is to be considered. The registrar shall provide a copy of the petition to each voter registration commissioner at least four days before the meeting. Declaratory rulings shall be made in writing and placed on file with the registrar.</w:t>
      </w:r>
    </w:p>
    <w:p>
      <w:pPr>
        <w:spacing w:before="0" w:after="0"/>
        <w:ind w:left="120"/>
        <w:jc w:val="both"/>
      </w:pPr>
      <w:r>
        <w:rPr>
          <w:rFonts w:ascii="Times New Roman" w:hAnsi="Times New Roman"/>
          <w:b/>
          <w:i w:val="false"/>
          <w:color w:val="000000"/>
          <w:sz w:val="22"/>
        </w:rPr>
        <w:t>821—1.6</w:t>
      </w:r>
      <w:r>
        <w:rPr>
          <w:rFonts w:ascii="Times New Roman" w:hAnsi="Times New Roman"/>
          <w:b/>
          <w:i w:val="false"/>
          <w:color w:val="000000"/>
          <w:sz w:val="22"/>
        </w:rPr>
        <w:t xml:space="preserve">(47) </w:t>
      </w:r>
      <w:r>
        <w:rPr>
          <w:rFonts w:ascii="Times New Roman" w:hAnsi="Times New Roman"/>
          <w:b/>
          <w:i w:val="false"/>
          <w:color w:val="000000"/>
          <w:sz w:val="22"/>
        </w:rPr>
        <w:t xml:space="preserve">Contested cases.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w:t>
      </w:r>
      <w:r>
        <w:rPr>
          <w:rFonts w:ascii="Times New Roman" w:hAnsi="Times New Roman"/>
          <w:b w:val="false"/>
          <w:i w:val="false"/>
          <w:color w:val="000000"/>
          <w:sz w:val="22"/>
        </w:rPr>
        <w:t> </w:t>
      </w:r>
      <w:r>
        <w:rPr>
          <w:rFonts w:ascii="Times New Roman" w:hAnsi="Times New Roman"/>
          <w:b w:val="false"/>
          <w:i/>
          <w:color w:val="000000"/>
          <w:sz w:val="22"/>
        </w:rPr>
        <w:t xml:space="preserve">Hearings. </w:t>
      </w:r>
      <w:r>
        <w:rPr>
          <w:rFonts w:ascii="Times New Roman" w:hAnsi="Times New Roman"/>
          <w:b w:val="false"/>
          <w:i w:val="false"/>
          <w:color w:val="000000"/>
          <w:sz w:val="22"/>
        </w:rPr>
        <w:t xml:space="preserve">Hearings for contested cases under the authority of the voter registration commission shall be presided over by the voter registration commission. Notice shall be given, the hearing conducted and the records of the hearing kept in accordance with Iowa Code section </w:t>
      </w:r>
      <w:hyperlink r:id="rId6">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w:t>
      </w:r>
      <w:r>
        <w:rPr>
          <w:rFonts w:ascii="Times New Roman" w:hAnsi="Times New Roman"/>
          <w:b w:val="false"/>
          <w:i w:val="false"/>
          <w:color w:val="000000"/>
          <w:sz w:val="22"/>
        </w:rPr>
        <w:t> </w:t>
      </w:r>
      <w:r>
        <w:rPr>
          <w:rFonts w:ascii="Times New Roman" w:hAnsi="Times New Roman"/>
          <w:b w:val="false"/>
          <w:i/>
          <w:color w:val="000000"/>
          <w:sz w:val="22"/>
        </w:rPr>
        <w:t xml:space="preserve">Rules of evidence. </w:t>
      </w:r>
      <w:r>
        <w:rPr>
          <w:rFonts w:ascii="Times New Roman" w:hAnsi="Times New Roman"/>
          <w:b w:val="false"/>
          <w:i w:val="false"/>
          <w:color w:val="000000"/>
          <w:sz w:val="22"/>
        </w:rPr>
        <w:t xml:space="preserve">Rules of evidence shall be those enumerated under Iowa Code section </w:t>
      </w:r>
      <w:hyperlink r:id="rId7">
        <w:r>
          <w:rPr>
            <w:rStyle w:val="Hyperlink"/>
            <w:rFonts w:ascii="Times New Roman" w:hAnsi="Times New Roman"/>
            <w:b w:val="false"/>
            <w:i w:val="false"/>
            <w:color w:val="000000"/>
            <w:sz w:val="22"/>
          </w:rPr>
          <w:t>17A.14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821—1.7</w:t>
      </w:r>
      <w:r>
        <w:rPr>
          <w:rFonts w:ascii="Times New Roman" w:hAnsi="Times New Roman"/>
          <w:b/>
          <w:i w:val="false"/>
          <w:color w:val="000000"/>
          <w:sz w:val="22"/>
        </w:rPr>
        <w:t xml:space="preserve">(47)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terms have the meanings assigned to them by this rule wherever the terms appear in these rules, unless the context of usage clearly requires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means a voter registration agency and the office of driver services,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“voter registration commission” </w:t>
      </w:r>
      <w:r>
        <w:rPr>
          <w:rFonts w:ascii="Times New Roman" w:hAnsi="Times New Roman"/>
          <w:b w:val="false"/>
          <w:i w:val="false"/>
          <w:color w:val="000000"/>
          <w:sz w:val="22"/>
        </w:rPr>
        <w:t xml:space="preserve">means the voter registration commission as defined in Iowa Code section </w:t>
      </w:r>
      <w:hyperlink r:id="rId8">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“county commissioner” </w:t>
      </w:r>
      <w:r>
        <w:rPr>
          <w:rFonts w:ascii="Times New Roman" w:hAnsi="Times New Roman"/>
          <w:b w:val="false"/>
          <w:i w:val="false"/>
          <w:color w:val="000000"/>
          <w:sz w:val="22"/>
        </w:rPr>
        <w:t xml:space="preserve">means the county commissioner of registration as defined in Iowa Code section </w:t>
      </w:r>
      <w:hyperlink r:id="rId9">
        <w:r>
          <w:rPr>
            <w:rStyle w:val="Hyperlink"/>
            <w:rFonts w:ascii="Times New Roman" w:hAnsi="Times New Roman"/>
            <w:b w:val="false"/>
            <w:i w:val="false"/>
            <w:color w:val="000000"/>
            <w:sz w:val="22"/>
          </w:rPr>
          <w:t>48.1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“Driver license clerk” </w:t>
      </w:r>
      <w:r>
        <w:rPr>
          <w:rFonts w:ascii="Times New Roman" w:hAnsi="Times New Roman"/>
          <w:b w:val="false"/>
          <w:i w:val="false"/>
          <w:color w:val="000000"/>
          <w:sz w:val="22"/>
        </w:rPr>
        <w:t>means an employee of the office of driver services, department of transportation, who has face-to-face contact with clients seeking a driver license or nonoperator identification card, or a county employee in the office of the county treasurer who performs a similar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“NCOA” </w:t>
      </w:r>
      <w:r>
        <w:rPr>
          <w:rFonts w:ascii="Times New Roman" w:hAnsi="Times New Roman"/>
          <w:b w:val="false"/>
          <w:i w:val="false"/>
          <w:color w:val="000000"/>
          <w:sz w:val="22"/>
        </w:rPr>
        <w:t>means National Change of Address, and refers to the collection and distribution of information by the United States Postal Service or its licensed vendors; programs instituted to support that collection and distribution; or the information itself.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“Registrar”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“state registrar” </w:t>
      </w:r>
      <w:r>
        <w:rPr>
          <w:rFonts w:ascii="Times New Roman" w:hAnsi="Times New Roman"/>
          <w:b w:val="false"/>
          <w:i w:val="false"/>
          <w:color w:val="000000"/>
          <w:sz w:val="22"/>
        </w:rPr>
        <w:t xml:space="preserve">means the state registrar of voters as defined in Iowa Code section </w:t>
      </w:r>
      <w:hyperlink r:id="rId10">
        <w:r>
          <w:rPr>
            <w:rStyle w:val="Hyperlink"/>
            <w:rFonts w:ascii="Times New Roman" w:hAnsi="Times New Roman"/>
            <w:b w:val="false"/>
            <w:i w:val="false"/>
            <w:color w:val="000000"/>
            <w:sz w:val="22"/>
          </w:rPr>
          <w:t>47.7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“Voter registration agency” </w:t>
      </w:r>
      <w:r>
        <w:rPr>
          <w:rFonts w:ascii="Times New Roman" w:hAnsi="Times New Roman"/>
          <w:b w:val="false"/>
          <w:i w:val="false"/>
          <w:color w:val="000000"/>
          <w:sz w:val="22"/>
        </w:rPr>
        <w:t xml:space="preserve">means any department, division, or bureau in state government which provides voter registration services pursuant to Iowa Code section </w:t>
      </w:r>
      <w:hyperlink r:id="rId11">
        <w:r>
          <w:rPr>
            <w:rStyle w:val="Hyperlink"/>
            <w:rFonts w:ascii="Times New Roman" w:hAnsi="Times New Roman"/>
            <w:b w:val="false"/>
            <w:i w:val="false"/>
            <w:color w:val="000000"/>
            <w:sz w:val="22"/>
          </w:rPr>
          <w:t>48A.19</w:t>
        </w:r>
      </w:hyperlink>
      <w:r>
        <w:rPr>
          <w:rFonts w:ascii="Times New Roman" w:hAnsi="Times New Roman"/>
          <w:b w:val="false"/>
          <w:i w:val="false"/>
          <w:color w:val="000000"/>
          <w:sz w:val="22"/>
        </w:rPr>
        <w:t>. A department, division, or bureau which merely makes mail-in voter registration applications available to its clients, employees, or general public is not a voter registration agency, nor is the office of driver services,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“Voter registration commissioner” </w:t>
      </w:r>
      <w:r>
        <w:rPr>
          <w:rFonts w:ascii="Times New Roman" w:hAnsi="Times New Roman"/>
          <w:b w:val="false"/>
          <w:i w:val="false"/>
          <w:color w:val="000000"/>
          <w:sz w:val="22"/>
        </w:rPr>
        <w:t>means a member of the voter registration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7883B</w:t>
      </w:r>
      <w:r>
        <w:rPr>
          <w:rFonts w:ascii="Times New Roman" w:hAnsi="Times New Roman"/>
          <w:b w:val="false"/>
          <w:i w:val="false"/>
          <w:color w:val="000000"/>
          <w:sz w:val="16"/>
        </w:rPr>
        <w:t>, IAB 7/1/09, effective 7/1/09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821—1.8</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rule making. </w:t>
      </w:r>
      <w:r>
        <w:rPr>
          <w:rFonts w:ascii="Times New Roman" w:hAnsi="Times New Roman"/>
          <w:b w:val="false"/>
          <w:i w:val="false"/>
          <w:color w:val="000000"/>
          <w:sz w:val="22"/>
        </w:rPr>
        <w:t>Any person or agency may file a petition for rule making with the voter registration commission at the Secretary of State’s Office, First Floor, State Capitol Building, Des Moines, Iowa 50319, or the Secretary of State’s Office, Lucas State Office Building, Des Moines, Iowa 50319. A petition is deemed filed when it is received in either office. The state registrar must provide the petitioner with a file-stamped copy of the petition if the petitioner provides the agency an extra copy for this purpose. The petition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VOTER REGISTRATION COMMISSION</w:t>
            </w:r>
          </w:p>
        </w:tc>
      </w:tr>
      <w:tr>
        <w:trPr>
          <w:trHeight w:val="124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w:t>
            </w:r>
          </w:p>
          <w:p>
            <w:pPr>
              <w:spacing w:before="0" w:after="0"/>
              <w:ind w:left="160"/>
              <w:jc w:val="left"/>
            </w:pPr>
            <w:r>
              <w:rPr>
                <w:rFonts w:ascii="Times New Roman" w:hAnsi="Times New Roman"/>
                <w:b w:val="false"/>
                <w:i w:val="false"/>
                <w:color w:val="000000"/>
                <w:sz w:val="16"/>
              </w:rPr>
              <w:t>for the (adoption, amendment, or</w:t>
            </w:r>
          </w:p>
          <w:p>
            <w:pPr>
              <w:spacing w:before="0" w:after="0"/>
              <w:ind w:left="160"/>
              <w:jc w:val="left"/>
            </w:pPr>
            <w:r>
              <w:rPr>
                <w:rFonts w:ascii="Times New Roman" w:hAnsi="Times New Roman"/>
                <w:b w:val="false"/>
                <w:i w:val="false"/>
                <w:color w:val="000000"/>
                <w:sz w:val="16"/>
              </w:rPr>
              <w:t>repeal) of rules relating to (state</w:t>
            </w:r>
          </w:p>
          <w:p>
            <w:pPr>
              <w:spacing w:before="0" w:after="0"/>
              <w:ind w:left="160"/>
              <w:jc w:val="left"/>
            </w:pPr>
            <w:r>
              <w:rPr>
                <w:rFonts w:ascii="Times New Roman" w:hAnsi="Times New Roman"/>
                <w:b w:val="false"/>
                <w:i w:val="false"/>
                <w:color w:val="000000"/>
                <w:sz w:val="16"/>
              </w:rPr>
              <w:t>subject matter).</w:t>
            </w:r>
          </w:p>
        </w:tc>
        <w:tc>
          <w:tcPr>
            <w:tcW w:w="149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96"/>
              </w:rPr>
              <w:t>}</w:t>
            </w:r>
          </w:p>
          <w:p>
            <w:pPr>
              <w:spacing w:before="0" w:after="0"/>
              <w:ind w:left="160"/>
              <w:jc w:val="center"/>
            </w:pPr>
            <w:r>
              <w:rPr>
                <w:rFonts w:ascii="Times New Roman" w:hAnsi="Times New Roman"/>
                <w:b w:val="false"/>
                <w:i w:val="false"/>
                <w:color w:val="000000"/>
                <w:sz w:val="96"/>
              </w:rPr>
              <w:t> </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RULE MAKING</w:t>
            </w:r>
          </w:p>
        </w:tc>
      </w:tr>
    </w:tbl>
    <w:p>
      <w:pPr>
        <w:spacing w:before="0" w:after="0"/>
        <w:ind w:left="120"/>
        <w:jc w:val="both"/>
      </w:pP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statement of the specific rule-making action sought by the petitioner including the text or a summary of the contents of the proposed rule or amendment to a rule and, if it is a petition to amend or repeal a rule, a citation to the particular portion or portions of the rule proposed to be amended or repealed, together with a quotation of the relevant language.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to any law deemed relevant to the commission’s authority to take the action urged or to the desirability of that action.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brief summary of petitioner’s arguments in support of the action urged in the petition.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brief summary of any data supporting the action urged in the petition.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other persons, or a description of any class of persons, known by petitioner to be affected by, or interested in, the proposed action which is the subject of the petition.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Any request by petitioner for a meeting provided for by subrule 1.8(5).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w:t>
      </w:r>
      <w:r>
        <w:rPr>
          <w:rFonts w:ascii="Times New Roman" w:hAnsi="Times New Roman"/>
          <w:b w:val="false"/>
          <w:i w:val="false"/>
          <w:color w:val="000000"/>
          <w:sz w:val="22"/>
        </w:rPr>
        <w:t> </w:t>
      </w:r>
      <w:r>
        <w:rPr>
          <w:rFonts w:ascii="Times New Roman" w:hAnsi="Times New Roman"/>
          <w:b w:val="false"/>
          <w:i w:val="false"/>
          <w:color w:val="000000"/>
          <w:sz w:val="22"/>
        </w:rPr>
        <w:t>The petition must be dated and signed by the petitioner or the petitioner’s representative. It must also include the name, mailing address, and telephone number of the petitioner and petitioner’s representative (if one is involved), and a statement indicating the person to whom communications concerning the petition should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w:t>
      </w:r>
      <w:r>
        <w:rPr>
          <w:rFonts w:ascii="Times New Roman" w:hAnsi="Times New Roman"/>
          <w:b w:val="false"/>
          <w:i w:val="false"/>
          <w:color w:val="000000"/>
          <w:sz w:val="22"/>
        </w:rPr>
        <w:t> </w:t>
      </w:r>
      <w:r>
        <w:rPr>
          <w:rFonts w:ascii="Times New Roman" w:hAnsi="Times New Roman"/>
          <w:b w:val="false"/>
          <w:i w:val="false"/>
          <w:color w:val="000000"/>
          <w:sz w:val="22"/>
        </w:rPr>
        <w:t>The commission may deny a petition because it does not substantially conform to the required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w:t>
      </w:r>
      <w:r>
        <w:rPr>
          <w:rFonts w:ascii="Times New Roman" w:hAnsi="Times New Roman"/>
          <w:b w:val="false"/>
          <w:i w:val="false"/>
          <w:color w:val="000000"/>
          <w:sz w:val="22"/>
        </w:rPr>
        <w:t> </w:t>
      </w:r>
      <w:r>
        <w:rPr>
          <w:rFonts w:ascii="Times New Roman" w:hAnsi="Times New Roman"/>
          <w:b w:val="false"/>
          <w:i w:val="false"/>
          <w:color w:val="000000"/>
          <w:sz w:val="22"/>
        </w:rPr>
        <w:t>The petitioner may attach a brief to the petition in support of the action urged in the petition. The commission may request a brief from the petitioner or from any other person concerning the substance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w:t>
      </w:r>
      <w:r>
        <w:rPr>
          <w:rFonts w:ascii="Times New Roman" w:hAnsi="Times New Roman"/>
          <w:b w:val="false"/>
          <w:i w:val="false"/>
          <w:color w:val="000000"/>
          <w:sz w:val="22"/>
        </w:rPr>
        <w:t> </w:t>
      </w:r>
      <w:r>
        <w:rPr>
          <w:rFonts w:ascii="Times New Roman" w:hAnsi="Times New Roman"/>
          <w:b w:val="false"/>
          <w:i w:val="false"/>
          <w:color w:val="000000"/>
          <w:sz w:val="22"/>
        </w:rPr>
        <w:t xml:space="preserve">Inquiries concerning the status of a petition for rule making may be made to the Deputy Secretary of State, Lucas State Office Building, Des Moines, Iowa 50319.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1.8(5)</w:t>
      </w:r>
      <w:r>
        <w:rPr>
          <w:rFonts w:ascii="Times New Roman" w:hAnsi="Times New Roman"/>
          <w:b w:val="false"/>
          <w:i w:val="false"/>
          <w:color w:val="000000"/>
          <w:sz w:val="22"/>
        </w:rPr>
        <w:t> </w:t>
      </w:r>
      <w:r>
        <w:rPr>
          <w:rFonts w:ascii="Times New Roman" w:hAnsi="Times New Roman"/>
          <w:b w:val="false"/>
          <w:i w:val="false"/>
          <w:color w:val="000000"/>
          <w:sz w:val="22"/>
        </w:rPr>
        <w:t>Upon receipt of a petition for rule making, the following steps shall be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30 days after the filing of a petition, the state registrar must submit a copy of the petition and any accompanying brief to the administrative rules coordinator and to the administrative rules review committee. Upon request by petitioner in the petition, the agency must schedule a brief and informal meeting between the petitioner and a designee of the state registrar to discuss the petition. The commission may request the petitioner to submit additional information or argument concerning the petition. The commission may also solicit comments from any person on the substance of the petition. Also, comments on the substance of the petition may be submitted to the commission by any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90 days after the filing of the petition, or within any longer period agreed to by the petitioner, the commission must, in writing, deny the petition, and notify petitioner of its action and the specific grounds for the denial, or grant the petition and notify petitioner that it has instituted rule-making proceedings on the subject of the petition. Petitioner shall be deemed notified of the denial or grant of the petition on the date when a designee of the commission mails or delivers the required notification to petitioner.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Denial of a petition because it does not substantially conform to the required form does not preclude the filing of a new petition on the same subject that seeks to eliminate the grounds for the agency’s rejection of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4493C</w:t>
      </w:r>
      <w:r>
        <w:rPr>
          <w:rFonts w:ascii="Times New Roman" w:hAnsi="Times New Roman"/>
          <w:b w:val="false"/>
          <w:i w:val="false"/>
          <w:color w:val="000000"/>
          <w:sz w:val="16"/>
        </w:rPr>
        <w:t>, IAB 6/5/19, effective 7/10/19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2">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47.7</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7/5/77, Notice 6/1/77—published 7/27/77, effective 8/31/77]</w:t>
      </w:r>
    </w:p>
    <w:p>
      <w:pPr>
        <w:spacing w:before="0" w:after="0"/>
        <w:ind w:left="120"/>
        <w:jc w:val="center"/>
      </w:pPr>
      <w:r>
        <w:rPr>
          <w:rFonts w:ascii="Times New Roman" w:hAnsi="Times New Roman"/>
          <w:b w:val="false"/>
          <w:i w:val="false"/>
          <w:color w:val="000000"/>
          <w:sz w:val="21"/>
        </w:rPr>
        <w:t>[Filed 8/30/89, Notice 4/5/89—published 9/20/89, effective 10/25/89]</w:t>
      </w:r>
    </w:p>
    <w:p>
      <w:pPr>
        <w:spacing w:before="0" w:after="0"/>
        <w:ind w:left="120"/>
        <w:jc w:val="center"/>
      </w:pPr>
      <w:r>
        <w:rPr>
          <w:rFonts w:ascii="Times New Roman" w:hAnsi="Times New Roman"/>
          <w:b w:val="false"/>
          <w:i w:val="false"/>
          <w:color w:val="000000"/>
          <w:sz w:val="21"/>
        </w:rPr>
        <w:t>[Filed 3/1/90, Notice 9/6/89—published 3/21/90, effective 4/25/90]</w:t>
      </w:r>
    </w:p>
    <w:p>
      <w:pPr>
        <w:spacing w:before="0" w:after="0"/>
        <w:ind w:left="120"/>
        <w:jc w:val="center"/>
      </w:pPr>
      <w:r>
        <w:rPr>
          <w:rFonts w:ascii="Times New Roman" w:hAnsi="Times New Roman"/>
          <w:b w:val="false"/>
          <w:i w:val="false"/>
          <w:color w:val="000000"/>
          <w:sz w:val="21"/>
        </w:rPr>
        <w:t>[Filed 11/4/94, Notice 9/28/94—published 11/23/94, effective 1/5/95]</w:t>
      </w:r>
    </w:p>
    <w:p>
      <w:pPr>
        <w:spacing w:before="0" w:after="0"/>
        <w:ind w:left="120"/>
        <w:jc w:val="center"/>
      </w:pPr>
      <w:r>
        <w:rPr>
          <w:rFonts w:ascii="Times New Roman" w:hAnsi="Times New Roman"/>
          <w:b w:val="false"/>
          <w:i w:val="false"/>
          <w:color w:val="000000"/>
          <w:sz w:val="21"/>
        </w:rPr>
        <w:t>[Filed emergency 10/6/95—published 10/25/95, effective 10/6/95]</w:t>
      </w:r>
    </w:p>
    <w:p>
      <w:pPr>
        <w:spacing w:before="0" w:after="0"/>
        <w:ind w:left="120"/>
        <w:jc w:val="center"/>
      </w:pPr>
      <w:r>
        <w:rPr>
          <w:rFonts w:ascii="Times New Roman" w:hAnsi="Times New Roman"/>
          <w:b w:val="false"/>
          <w:i w:val="false"/>
          <w:color w:val="000000"/>
          <w:sz w:val="21"/>
        </w:rPr>
        <w:t>[Filed 12/16/99, Notice 10/20/99—published 1/12/00, effective 2/16/00]</w:t>
      </w:r>
    </w:p>
    <w:p>
      <w:pPr>
        <w:spacing w:before="0" w:after="0"/>
        <w:ind w:left="120"/>
        <w:jc w:val="center"/>
      </w:pPr>
      <w:r>
        <w:rPr>
          <w:rFonts w:ascii="Times New Roman" w:hAnsi="Times New Roman"/>
          <w:b w:val="false"/>
          <w:i w:val="false"/>
          <w:color w:val="000000"/>
          <w:sz w:val="21"/>
        </w:rPr>
        <w:t>[Filed Emergency ARC 7883B, IAB 7/1/09, effective 7/1/09]</w:t>
      </w:r>
    </w:p>
    <w:p>
      <w:pPr>
        <w:spacing w:before="0" w:after="0"/>
        <w:ind w:left="120"/>
        <w:jc w:val="center"/>
      </w:pPr>
      <w:r>
        <w:rPr>
          <w:rFonts w:ascii="Times New Roman" w:hAnsi="Times New Roman"/>
          <w:b w:val="false"/>
          <w:i w:val="false"/>
          <w:color w:val="000000"/>
          <w:sz w:val="21"/>
        </w:rPr>
        <w:t>[Filed ARC 4493C</w:t>
      </w:r>
      <w:r>
        <w:rPr>
          <w:rFonts w:ascii="Times New Roman" w:hAnsi="Times New Roman"/>
          <w:b w:val="false"/>
          <w:i w:val="false"/>
          <w:color w:val="000000"/>
          <w:sz w:val="21"/>
        </w:rPr>
        <w:t xml:space="preserve"> (Notice ARC 4383C, IAB 4/10/19)</w:t>
      </w:r>
      <w:r>
        <w:rPr>
          <w:rFonts w:ascii="Times New Roman" w:hAnsi="Times New Roman"/>
          <w:b w:val="false"/>
          <w:i w:val="false"/>
          <w:color w:val="000000"/>
          <w:sz w:val="21"/>
        </w:rPr>
        <w:t>, IAB 6/5/19, effective 7/10/19]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7.7.pdf" Type="http://schemas.openxmlformats.org/officeDocument/2006/relationships/hyperlink" Id="rId5"/>
    <Relationship TargetMode="External" Target="https://www.legis.iowa.gov/docs/ico/chapter/17A.12.pdf" Type="http://schemas.openxmlformats.org/officeDocument/2006/relationships/hyperlink" Id="rId6"/>
    <Relationship TargetMode="External" Target="https://www.legis.iowa.gov/docs/ico/chapter/17A.14.pdf" Type="http://schemas.openxmlformats.org/officeDocument/2006/relationships/hyperlink" Id="rId7"/>
    <Relationship TargetMode="External" Target="https://www.legis.iowa.gov/docs/ico/chapter/47.8.pdf" Type="http://schemas.openxmlformats.org/officeDocument/2006/relationships/hyperlink" Id="rId8"/>
    <Relationship TargetMode="External" Target="https://www.legis.iowa.gov/docs/ico/chapter/48.1.pdf" Type="http://schemas.openxmlformats.org/officeDocument/2006/relationships/hyperlink" Id="rId9"/>
    <Relationship TargetMode="External" Target="https://www.legis.iowa.gov/docs/ico/chapter/47.7.pdf" Type="http://schemas.openxmlformats.org/officeDocument/2006/relationships/hyperlink" Id="rId10"/>
    <Relationship TargetMode="External" Target="https://www.legis.iowa.gov/docs/ico/chapter/48A.19.pdf" Type="http://schemas.openxmlformats.org/officeDocument/2006/relationships/hyperlink" Id="rId11"/>
    <Relationship TargetMode="External" Target="https://www.legis.iowa.gov/docs/ico/chapter/17A.7.pdf" Type="http://schemas.openxmlformats.org/officeDocument/2006/relationships/hyperlink" Id="rId12"/>
    <Relationship TargetMode="External" Target="https://www.legis.iowa.gov/docs/ico/chapter/47.7.pdf" Type="http://schemas.openxmlformats.org/officeDocument/2006/relationships/hyperlink" Id="rId13"/>
    <Relationship TargetMode="External" Target="https://www.legis.iowa.gov/docs/ico/chapter/47.8.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