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24</w:t>
      </w:r>
    </w:p>
    <w:p>
      <w:pPr>
        <w:spacing w:before="0" w:after="0"/>
        <w:ind w:left="120"/>
        <w:jc w:val="center"/>
      </w:pPr>
      <w:r>
        <w:rPr>
          <w:rFonts w:ascii="Times New Roman" w:hAnsi="Times New Roman"/>
          <w:b w:val="false"/>
          <w:i w:val="false"/>
          <w:color w:val="000000"/>
          <w:sz w:val="21"/>
        </w:rPr>
        <w:t>PUBLIC RECORDS AND FAIR INFORMATION PRACTICES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The auditor of state hereby adopts, with the following exceptions and amendments, rules of the Governor’s Task Force on Uniform Rules of Agency Procedure relative to public records and fair information practices which are printed in Volume I of the Iowa Administrative Code:</w:t>
      </w:r>
    </w:p>
    <w:p>
      <w:pPr>
        <w:spacing w:before="0" w:after="0"/>
        <w:ind w:left="120"/>
        <w:jc w:val="both"/>
      </w:pPr>
      <w:r>
        <w:rPr>
          <w:rFonts w:ascii="Times New Roman" w:hAnsi="Times New Roman"/>
          <w:b/>
          <w:i w:val="false"/>
          <w:color w:val="000000"/>
          <w:sz w:val="22"/>
        </w:rPr>
        <w:t>81—24.1</w:t>
      </w:r>
      <w:r>
        <w:rPr>
          <w:rFonts w:ascii="Times New Roman" w:hAnsi="Times New Roman"/>
          <w:b/>
          <w:i w:val="false"/>
          <w:color w:val="000000"/>
          <w:sz w:val="22"/>
        </w:rPr>
        <w:t xml:space="preserve">(22)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In lieu of the words “(official or body issuing these rules)”, insert “auditor of state”.</w:t>
      </w:r>
    </w:p>
    <w:p>
      <w:pPr>
        <w:spacing w:before="0" w:after="0"/>
        <w:ind w:left="120"/>
        <w:jc w:val="both"/>
      </w:pPr>
      <w:r>
        <w:rPr>
          <w:rFonts w:ascii="Times New Roman" w:hAnsi="Times New Roman"/>
          <w:b/>
          <w:i w:val="false"/>
          <w:color w:val="000000"/>
          <w:sz w:val="22"/>
        </w:rPr>
        <w:t>81—24.3</w:t>
      </w:r>
      <w:r>
        <w:rPr>
          <w:rFonts w:ascii="Times New Roman" w:hAnsi="Times New Roman"/>
          <w:b/>
          <w:i w:val="false"/>
          <w:color w:val="000000"/>
          <w:sz w:val="22"/>
        </w:rPr>
        <w:t xml:space="preserve">(22)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In lieu of the words “(insert agency head)”, insert “auditor of state”. Also in lieu of the words “(insert agency name and address)”, insert “Auditor of State, State Capitol Building,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 xml:space="preserve">In lieu of the words “(insert customary office hours and, if agency does not have customary office hours of at least thirty hours a week, insert hours specified in Iowa Code section </w:t>
      </w:r>
      <w:hyperlink r:id="rId5">
        <w:r>
          <w:rPr>
            <w:rStyle w:val="Hyperlink"/>
            <w:rFonts w:ascii="Times New Roman" w:hAnsi="Times New Roman"/>
            <w:b w:val="false"/>
            <w:i w:val="false"/>
            <w:color w:val="000000"/>
            <w:sz w:val="22"/>
          </w:rPr>
          <w:t>24.4</w:t>
        </w:r>
      </w:hyperlink>
      <w:r>
        <w:rPr>
          <w:rFonts w:ascii="Times New Roman" w:hAnsi="Times New Roman"/>
          <w:b w:val="false"/>
          <w:i w:val="false"/>
          <w:color w:val="000000"/>
          <w:sz w:val="22"/>
        </w:rPr>
        <w:t>)”, insert “which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to 4:30 p.m., Monday through Friday”.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Supervisory fee. </w:t>
      </w:r>
      <w:r>
        <w:rPr>
          <w:rFonts w:ascii="Times New Roman" w:hAnsi="Times New Roman"/>
          <w:b w:val="false"/>
          <w:i w:val="false"/>
          <w:color w:val="000000"/>
          <w:sz w:val="22"/>
        </w:rPr>
        <w:t>In lieu of the words “(specify time period)”, insert “one hour”.</w:t>
      </w:r>
    </w:p>
    <w:p>
      <w:pPr>
        <w:spacing w:before="210" w:after="0"/>
        <w:ind w:left="120"/>
        <w:jc w:val="both"/>
      </w:pPr>
      <w:r>
        <w:rPr>
          <w:rFonts w:ascii="Times New Roman" w:hAnsi="Times New Roman"/>
          <w:b/>
          <w:i w:val="false"/>
          <w:color w:val="000000"/>
          <w:sz w:val="22"/>
        </w:rPr>
        <w:t>81—24.6</w:t>
      </w:r>
      <w:r>
        <w:rPr>
          <w:rFonts w:ascii="Times New Roman" w:hAnsi="Times New Roman"/>
          <w:b/>
          <w:i w:val="false"/>
          <w:color w:val="000000"/>
          <w:sz w:val="22"/>
        </w:rPr>
        <w:t xml:space="preserve">(22)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In lieu of the words “(designate office)”, insert “auditor of state”.</w:t>
      </w:r>
    </w:p>
    <w:p>
      <w:pPr>
        <w:spacing w:before="0" w:after="0"/>
        <w:ind w:left="120"/>
        <w:jc w:val="both"/>
      </w:pPr>
      <w:r>
        <w:rPr>
          <w:rFonts w:ascii="Times New Roman" w:hAnsi="Times New Roman"/>
          <w:b/>
          <w:i w:val="false"/>
          <w:color w:val="000000"/>
          <w:sz w:val="22"/>
        </w:rPr>
        <w:t>81—24.9</w:t>
      </w:r>
      <w:r>
        <w:rPr>
          <w:rFonts w:ascii="Times New Roman" w:hAnsi="Times New Roman"/>
          <w:b/>
          <w:i w:val="false"/>
          <w:color w:val="000000"/>
          <w:sz w:val="22"/>
        </w:rPr>
        <w:t xml:space="preserve">(22) </w:t>
      </w:r>
      <w:r>
        <w:rPr>
          <w:rFonts w:ascii="Times New Roman" w:hAnsi="Times New Roman"/>
          <w:b/>
          <w:i w:val="false"/>
          <w:color w:val="000000"/>
          <w:sz w:val="22"/>
        </w:rPr>
        <w:t xml:space="preserve">Disclosures without the consent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24.9(1)</w:t>
      </w:r>
      <w:r>
        <w:rPr>
          <w:rFonts w:ascii="Times New Roman" w:hAnsi="Times New Roman"/>
          <w:b w:val="false"/>
          <w:i w:val="false"/>
          <w:color w:val="000000"/>
          <w:sz w:val="22"/>
        </w:rPr>
        <w:t> </w:t>
      </w:r>
      <w:r>
        <w:rPr>
          <w:rFonts w:ascii="Times New Roman" w:hAnsi="Times New Roman"/>
          <w:b w:val="false"/>
          <w:i w:val="false"/>
          <w:color w:val="000000"/>
          <w:sz w:val="22"/>
        </w:rPr>
        <w:t>Open records are routinely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24.9(2)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disclosure of confidential records may occur without the consent of the subject. Following are instances where disclosure, if lawful, will generally occur without notice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routine use as defined in </w:t>
      </w:r>
      <w:hyperlink r:id="rId6">
        <w:r>
          <w:rPr>
            <w:rStyle w:val="Hyperlink"/>
            <w:rFonts w:ascii="Times New Roman" w:hAnsi="Times New Roman"/>
            <w:b w:val="false"/>
            <w:i w:val="false"/>
            <w:color w:val="000000"/>
            <w:sz w:val="22"/>
          </w:rPr>
          <w:t>24.10</w:t>
        </w:r>
      </w:hyperlink>
      <w:r>
        <w:rPr>
          <w:rFonts w:ascii="Times New Roman" w:hAnsi="Times New Roman"/>
          <w:b w:val="false"/>
          <w:i w:val="false"/>
          <w:color w:val="000000"/>
          <w:sz w:val="22"/>
        </w:rPr>
        <w:t>(22) or in the notice for a particular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recipient who has provided the agency with advance written assurance that the record will be used solely as a statistical research or reporting record; provided that, the record is transferred in a form that does not identify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another government agency or to an instrumentality of any governmental jurisdiction within or under the control of the United States for a civil or criminal law enforcement activity if the activity is authorized by law, and if an authorized representative of such government agency or instrumentality has submitted a written request to the agency specifying the record desired and the law enforcement activity for which the record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an individual pursuant to a showing of compelling circumstances affecting the health or safety of any individual if a notice of the disclosure is transmitted to the last known address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legislative services agency under Iowa Code section </w:t>
      </w:r>
      <w:hyperlink r:id="rId7">
        <w:r>
          <w:rPr>
            <w:rStyle w:val="Hyperlink"/>
            <w:rFonts w:ascii="Times New Roman" w:hAnsi="Times New Roman"/>
            <w:b w:val="false"/>
            <w:i w:val="false"/>
            <w:color w:val="000000"/>
            <w:sz w:val="22"/>
          </w:rPr>
          <w:t>2A.3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Disclosures in the course of employee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response to a court order or subpoena.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24.9(3)</w:t>
      </w:r>
      <w:r>
        <w:rPr>
          <w:rFonts w:ascii="Times New Roman" w:hAnsi="Times New Roman"/>
          <w:b w:val="false"/>
          <w:i w:val="false"/>
          <w:color w:val="000000"/>
          <w:sz w:val="22"/>
        </w:rPr>
        <w:t> </w:t>
      </w:r>
      <w:r>
        <w:rPr>
          <w:rFonts w:ascii="Times New Roman" w:hAnsi="Times New Roman"/>
          <w:b w:val="false"/>
          <w:i w:val="false"/>
          <w:color w:val="000000"/>
          <w:sz w:val="22"/>
        </w:rPr>
        <w:t>Obtaining information from a third party. The agency is required to obtain information to provide appropriate audit service. Requests to third parties for this information may involve the release of confidential identifying information about individuals.</w:t>
      </w:r>
    </w:p>
    <w:p>
      <w:pPr>
        <w:spacing w:before="0" w:after="0"/>
        <w:ind w:left="120"/>
        <w:jc w:val="both"/>
      </w:pPr>
      <w:r>
        <w:rPr>
          <w:rFonts w:ascii="Times New Roman" w:hAnsi="Times New Roman"/>
          <w:b/>
          <w:i w:val="false"/>
          <w:color w:val="000000"/>
          <w:sz w:val="22"/>
        </w:rPr>
        <w:t>81—24.10</w:t>
      </w:r>
      <w:r>
        <w:rPr>
          <w:rFonts w:ascii="Times New Roman" w:hAnsi="Times New Roman"/>
          <w:b/>
          <w:i w:val="false"/>
          <w:color w:val="000000"/>
          <w:sz w:val="22"/>
        </w:rPr>
        <w:t xml:space="preserve">(22) </w:t>
      </w:r>
      <w:r>
        <w:rPr>
          <w:rFonts w:ascii="Times New Roman" w:hAnsi="Times New Roman"/>
          <w:b/>
          <w:i w:val="false"/>
          <w:color w:val="000000"/>
          <w:sz w:val="22"/>
        </w:rPr>
        <w:t xml:space="preserve">Routine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24.10(1)</w:t>
      </w:r>
      <w:r>
        <w:rPr>
          <w:rFonts w:ascii="Times New Roman" w:hAnsi="Times New Roman"/>
          <w:b w:val="false"/>
          <w:i w:val="false"/>
          <w:color w:val="000000"/>
          <w:sz w:val="22"/>
        </w:rPr>
        <w:t> </w:t>
      </w:r>
      <w:r>
        <w:rPr>
          <w:rFonts w:ascii="Times New Roman" w:hAnsi="Times New Roman"/>
          <w:b w:val="false"/>
          <w:i w:val="false"/>
          <w:color w:val="000000"/>
          <w:sz w:val="22"/>
        </w:rPr>
        <w:t xml:space="preserve">Defined. “Routine use” means the disclosure of a record without the consent of the subject or subjects, for a purpose which is compatible with the purpose for which the record was collected. It includes disclosures required to be made by statute other than the public records law, Iowa Code chapter </w:t>
      </w:r>
      <w:hyperlink r:id="rId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the following uses are considered routine uses of all agency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to those supervisory personnel and agents of the agency who have a need for the record in the performance of their duties. The custodian of the record may upon request of any supervisory personnel or employee, or on the custodian’s own initiative, determine what constitutes legitimate need to use confidential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indicating an apparent violation of the law to appropriate law enforcement authorities for investigation and possible criminal prosecution, civil court action, or regulatory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Disclosure to the department of inspections and appeals for matters in which it is performing services or functions on behalf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Transfers of information within the agency, to other state agencies, or to local units of government as appropriate to administer the program for which the information is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Information obtained from or released to staff of federal, state and local entities for audit purposes or for purposes of determining whether the agency or other agencies are operating a program lawfully.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disclosure specifically authorized by the statute under which the record was collected or maintained.</w:t>
      </w:r>
    </w:p>
    <w:p>
      <w:pPr>
        <w:spacing w:before="0" w:after="0"/>
        <w:ind w:left="120"/>
        <w:jc w:val="both"/>
      </w:pPr>
      <w:r>
        <w:rPr>
          <w:rFonts w:ascii="Times New Roman" w:hAnsi="Times New Roman"/>
          <w:b/>
          <w:i w:val="false"/>
          <w:color w:val="000000"/>
          <w:sz w:val="22"/>
        </w:rPr>
        <w:t>81—24.11</w:t>
      </w:r>
      <w:r>
        <w:rPr>
          <w:rFonts w:ascii="Times New Roman" w:hAnsi="Times New Roman"/>
          <w:b/>
          <w:i w:val="false"/>
          <w:color w:val="000000"/>
          <w:sz w:val="22"/>
        </w:rPr>
        <w:t xml:space="preserve">(22) </w:t>
      </w:r>
      <w:r>
        <w:rPr>
          <w:rFonts w:ascii="Times New Roman" w:hAnsi="Times New Roman"/>
          <w:b/>
          <w:i w:val="false"/>
          <w:color w:val="000000"/>
          <w:sz w:val="22"/>
        </w:rPr>
        <w:t xml:space="preserve">Consensual disclosure of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24.11(1)</w:t>
      </w:r>
      <w:r>
        <w:rPr>
          <w:rFonts w:ascii="Times New Roman" w:hAnsi="Times New Roman"/>
          <w:b w:val="false"/>
          <w:i w:val="false"/>
          <w:color w:val="000000"/>
          <w:sz w:val="22"/>
        </w:rPr>
        <w:t> </w:t>
      </w:r>
      <w:r>
        <w:rPr>
          <w:rFonts w:ascii="Times New Roman" w:hAnsi="Times New Roman"/>
          <w:b w:val="false"/>
          <w:i/>
          <w:color w:val="000000"/>
          <w:sz w:val="22"/>
        </w:rPr>
        <w:t xml:space="preserve">Consent to disclosure by a subject individual. </w:t>
      </w:r>
      <w:r>
        <w:rPr>
          <w:rFonts w:ascii="Times New Roman" w:hAnsi="Times New Roman"/>
          <w:b w:val="false"/>
          <w:i w:val="false"/>
          <w:color w:val="000000"/>
          <w:sz w:val="22"/>
        </w:rPr>
        <w:t xml:space="preserve">To the extent permitted by law, the subject may consent in writing to agency disclosure of confidential records as provided in </w:t>
      </w:r>
      <w:hyperlink r:id="rId9">
        <w:r>
          <w:rPr>
            <w:rStyle w:val="Hyperlink"/>
            <w:rFonts w:ascii="Times New Roman" w:hAnsi="Times New Roman"/>
            <w:b w:val="false"/>
            <w:i w:val="false"/>
            <w:color w:val="000000"/>
            <w:sz w:val="22"/>
          </w:rPr>
          <w:t>24.7</w:t>
        </w:r>
      </w:hyperlink>
      <w:r>
        <w:rPr>
          <w:rFonts w:ascii="Times New Roman" w:hAnsi="Times New Roman"/>
          <w:b w:val="false"/>
          <w:i w:val="false"/>
          <w:color w:val="000000"/>
          <w:sz w:val="22"/>
        </w:rPr>
        <w:t>(22).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24.11(2)</w:t>
      </w:r>
      <w:r>
        <w:rPr>
          <w:rFonts w:ascii="Times New Roman" w:hAnsi="Times New Roman"/>
          <w:b w:val="false"/>
          <w:i w:val="false"/>
          <w:color w:val="000000"/>
          <w:sz w:val="22"/>
        </w:rPr>
        <w:t> </w:t>
      </w:r>
      <w:r>
        <w:rPr>
          <w:rFonts w:ascii="Times New Roman" w:hAnsi="Times New Roman"/>
          <w:b w:val="false"/>
          <w:i/>
          <w:color w:val="000000"/>
          <w:sz w:val="22"/>
        </w:rPr>
        <w:t xml:space="preserve">Complaints to public officials. </w:t>
      </w:r>
      <w:r>
        <w:rPr>
          <w:rFonts w:ascii="Times New Roman" w:hAnsi="Times New Roman"/>
          <w:b w:val="false"/>
          <w:i w:val="false"/>
          <w:color w:val="000000"/>
          <w:sz w:val="22"/>
        </w:rPr>
        <w:t>A letter from a subject of a confidential record to a public official which seeks the official’s intervention on behalf of the subject in a matter that involves the agency may be, to the extent permitted by law, treated as an authorization to release sufficient information about the subject to the official to resolve the matter.</w:t>
      </w:r>
    </w:p>
    <w:p>
      <w:pPr>
        <w:spacing w:before="0" w:after="0"/>
        <w:ind w:left="120"/>
        <w:jc w:val="both"/>
      </w:pPr>
      <w:r>
        <w:rPr>
          <w:rFonts w:ascii="Times New Roman" w:hAnsi="Times New Roman"/>
          <w:b/>
          <w:i w:val="false"/>
          <w:color w:val="000000"/>
          <w:sz w:val="22"/>
        </w:rPr>
        <w:t>81—24.12</w:t>
      </w:r>
      <w:r>
        <w:rPr>
          <w:rFonts w:ascii="Times New Roman" w:hAnsi="Times New Roman"/>
          <w:b/>
          <w:i w:val="false"/>
          <w:color w:val="000000"/>
          <w:sz w:val="22"/>
        </w:rPr>
        <w:t xml:space="preserve">(22) </w:t>
      </w:r>
      <w:r>
        <w:rPr>
          <w:rFonts w:ascii="Times New Roman" w:hAnsi="Times New Roman"/>
          <w:b/>
          <w:i w:val="false"/>
          <w:color w:val="000000"/>
          <w:sz w:val="22"/>
        </w:rPr>
        <w:t xml:space="preserve">Release to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subject of a confidential record may file a written request to review confidential records about that person as provided in </w:t>
      </w:r>
      <w:hyperlink r:id="rId10">
        <w:r>
          <w:rPr>
            <w:rStyle w:val="Hyperlink"/>
            <w:rFonts w:ascii="Times New Roman" w:hAnsi="Times New Roman"/>
            <w:b w:val="false"/>
            <w:i w:val="false"/>
            <w:color w:val="000000"/>
            <w:sz w:val="22"/>
          </w:rPr>
          <w:t>24.6</w:t>
        </w:r>
      </w:hyperlink>
      <w:r>
        <w:rPr>
          <w:rFonts w:ascii="Times New Roman" w:hAnsi="Times New Roman"/>
          <w:b w:val="false"/>
          <w:i w:val="false"/>
          <w:color w:val="000000"/>
          <w:sz w:val="22"/>
        </w:rPr>
        <w:t>(22). However, the agency need not release the following records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identity of a person providing information to the agency need not be disclosed directly or indirectly to the subject of the information when the information is authorized to be held confidential pursuant to Iowa Code section </w:t>
      </w:r>
      <w:hyperlink r:id="rId11">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or other provisions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need not be disclosed to the subject when they are the work product of an attorney or are otherwise privileged.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Peace officers’ investigative reports may be withheld from the subject, except as required by the Iowa Code. (See Iowa Code section </w:t>
      </w:r>
      <w:hyperlink r:id="rId12">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 otherwise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24.12(2)</w:t>
      </w:r>
      <w:r>
        <w:rPr>
          <w:rFonts w:ascii="Times New Roman" w:hAnsi="Times New Roman"/>
          <w:b w:val="false"/>
          <w:i w:val="false"/>
          <w:color w:val="000000"/>
          <w:sz w:val="22"/>
        </w:rPr>
        <w:t> </w:t>
      </w:r>
      <w:r>
        <w:rPr>
          <w:rFonts w:ascii="Times New Roman" w:hAnsi="Times New Roman"/>
          <w:b w:val="false"/>
          <w:i w:val="false"/>
          <w:color w:val="000000"/>
          <w:sz w:val="22"/>
        </w:rPr>
        <w:t>Where a record has multiple subjects with interest in the confidentiality of the record, the agency may take reasonable steps to protect confidential information relating to another subject.</w:t>
      </w:r>
    </w:p>
    <w:p>
      <w:pPr>
        <w:spacing w:before="0" w:after="0"/>
        <w:ind w:left="120"/>
        <w:jc w:val="both"/>
      </w:pPr>
      <w:r>
        <w:rPr>
          <w:rFonts w:ascii="Times New Roman" w:hAnsi="Times New Roman"/>
          <w:b/>
          <w:i w:val="false"/>
          <w:color w:val="000000"/>
          <w:sz w:val="22"/>
        </w:rPr>
        <w:t>81—24.13</w:t>
      </w:r>
      <w:r>
        <w:rPr>
          <w:rFonts w:ascii="Times New Roman" w:hAnsi="Times New Roman"/>
          <w:b/>
          <w:i w:val="false"/>
          <w:color w:val="000000"/>
          <w:sz w:val="22"/>
        </w:rPr>
        <w:t xml:space="preserve">(22)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Agency records are open for public inspection and copying unless otherwise provided by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24.13(2)</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The following records may be withheld from public inspection. Records are listed by category, according to the legal basis for withholding them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Sealed bids received prior to the time set for public opening of bids. (Iowa Code section </w:t>
      </w:r>
      <w:hyperlink r:id="rId13">
        <w:r>
          <w:rPr>
            <w:rStyle w:val="Hyperlink"/>
            <w:rFonts w:ascii="Times New Roman" w:hAnsi="Times New Roman"/>
            <w:b w:val="false"/>
            <w:i w:val="false"/>
            <w:color w:val="000000"/>
            <w:sz w:val="22"/>
          </w:rPr>
          <w:t>72.3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Tax records made available to the agency. (Iowa Code section </w:t>
      </w:r>
      <w:hyperlink r:id="rId14">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are exempt from disclosure under Iowa Code section </w:t>
      </w:r>
      <w:hyperlink r:id="rId1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Identifying details in final orders, decisions and opinions to the extent required to prevent a clearly unwarranted invasion of personal privacy or trade secrets under Iowa Code section </w:t>
      </w:r>
      <w:hyperlink r:id="rId16">
        <w:r>
          <w:rPr>
            <w:rStyle w:val="Hyperlink"/>
            <w:rFonts w:ascii="Times New Roman" w:hAnsi="Times New Roman"/>
            <w:b w:val="false"/>
            <w:i w:val="false"/>
            <w:color w:val="000000"/>
            <w:sz w:val="22"/>
          </w:rPr>
          <w:t>17A.3(1)</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Those portions of agency staff manuals, instructions or other statements issued which set forth criteria or guidelines to be used by agency staff in auditing, in making inspections, in settling commercial disputes or negotiating commercial arrangements, or in the selection or handling of cases, such as operational tactics or allowable tolerances or criteria for the defense, prosecution or settlement of cases, when disclosure of these statements would: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Enable law violators to avoid detection;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Facilitate disregard of requirements imposed by law;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Give a clearly improper advantage to persons who are in an adverse position to the agency. (See Iowa Code sections </w:t>
      </w:r>
      <w:hyperlink r:id="rId17">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Audit working papers and audit reports not yet published or filed. (Iowa Code sections </w:t>
      </w:r>
      <w:hyperlink r:id="rId19">
        <w:r>
          <w:rPr>
            <w:rStyle w:val="Hyperlink"/>
            <w:rFonts w:ascii="Times New Roman" w:hAnsi="Times New Roman"/>
            <w:b w:val="false"/>
            <w:i w:val="false"/>
            <w:color w:val="000000"/>
            <w:sz w:val="22"/>
          </w:rPr>
          <w:t>11.4(6)</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11.17</w:t>
        </w:r>
      </w:hyperlink>
      <w:r>
        <w:rPr>
          <w:rFonts w:ascii="Times New Roman" w:hAnsi="Times New Roman"/>
          <w:b w:val="false"/>
          <w:i w:val="false"/>
          <w:color w:val="000000"/>
          <w:sz w:val="22"/>
        </w:rPr>
        <w:t xml:space="preserve"> and rule </w:t>
      </w:r>
      <w:hyperlink r:id="rId21">
        <w:r>
          <w:rPr>
            <w:rStyle w:val="Hyperlink"/>
            <w:rFonts w:ascii="Times New Roman" w:hAnsi="Times New Roman"/>
            <w:b w:val="false"/>
            <w:i w:val="false"/>
            <w:color w:val="000000"/>
            <w:sz w:val="22"/>
          </w:rPr>
          <w:t>81—25.9(17A,11)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Agency personnel records. (Iowa Code section </w:t>
      </w:r>
      <w:hyperlink r:id="rId22">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constitute attorney work product, attorney-client communications, or which are otherwise privileged. Attorney work product is confidential under Iowa Code sections </w:t>
      </w:r>
      <w:hyperlink r:id="rId23">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Iowa R.C.P. 122(c), Fed.</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 Civ.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P. 26(b)(3), and case law. Attorney-client communications are confidential under Iowa Code sections </w:t>
      </w:r>
      <w:hyperlink r:id="rId26">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the rules of evidence, the Code of Professional Responsibility, and case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Any other records made confidential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24.13(3)</w:t>
      </w:r>
      <w:r>
        <w:rPr>
          <w:rFonts w:ascii="Times New Roman" w:hAnsi="Times New Roman"/>
          <w:b w:val="false"/>
          <w:i w:val="false"/>
          <w:color w:val="000000"/>
          <w:sz w:val="22"/>
        </w:rPr>
        <w:t> </w:t>
      </w:r>
      <w:r>
        <w:rPr>
          <w:rFonts w:ascii="Times New Roman" w:hAnsi="Times New Roman"/>
          <w:b w:val="false"/>
          <w:i/>
          <w:color w:val="000000"/>
          <w:sz w:val="22"/>
        </w:rPr>
        <w:t xml:space="preserve">Authority to release confidential records. </w:t>
      </w:r>
      <w:r>
        <w:rPr>
          <w:rFonts w:ascii="Times New Roman" w:hAnsi="Times New Roman"/>
          <w:b w:val="false"/>
          <w:i w:val="false"/>
          <w:color w:val="000000"/>
          <w:sz w:val="22"/>
        </w:rPr>
        <w:t xml:space="preserve">The agency may have discretion to disclose some confidential records which are exempt from disclosure under Iowa Code section </w:t>
      </w:r>
      <w:hyperlink r:id="rId28">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law. Any person may request permission to inspect records withheld from inspection under a statute which authorizes limited or discretionary disclosure as provided in 24.4(22). If the agency initially determines that it will release such records, the agency may, where appropriate, notify interested parties and withhold the records from inspection as provided in subrule 24.4(3).</w:t>
      </w:r>
    </w:p>
    <w:p>
      <w:pPr>
        <w:spacing w:before="0" w:after="0"/>
        <w:ind w:left="120"/>
        <w:jc w:val="both"/>
      </w:pPr>
      <w:r>
        <w:rPr>
          <w:rFonts w:ascii="Times New Roman" w:hAnsi="Times New Roman"/>
          <w:b/>
          <w:i w:val="false"/>
          <w:color w:val="000000"/>
          <w:sz w:val="22"/>
        </w:rPr>
        <w:t>81—24.14</w:t>
      </w:r>
      <w:r>
        <w:rPr>
          <w:rFonts w:ascii="Times New Roman" w:hAnsi="Times New Roman"/>
          <w:b/>
          <w:i w:val="false"/>
          <w:color w:val="000000"/>
          <w:sz w:val="22"/>
        </w:rPr>
        <w:t xml:space="preserve">(22)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which is collected, maintained, and retrieved by the agency by personal identifier in record systems as defined in </w:t>
      </w:r>
      <w:hyperlink r:id="rId29">
        <w:r>
          <w:rPr>
            <w:rStyle w:val="Hyperlink"/>
            <w:rFonts w:ascii="Times New Roman" w:hAnsi="Times New Roman"/>
            <w:b w:val="false"/>
            <w:i w:val="false"/>
            <w:color w:val="000000"/>
            <w:sz w:val="22"/>
          </w:rPr>
          <w:t>24.2</w:t>
        </w:r>
      </w:hyperlink>
      <w:r>
        <w:rPr>
          <w:rFonts w:ascii="Times New Roman" w:hAnsi="Times New Roman"/>
          <w:b w:val="false"/>
          <w:i w:val="false"/>
          <w:color w:val="000000"/>
          <w:sz w:val="22"/>
        </w:rPr>
        <w:t>(22). For each record system, this rule describes the legal authority for the collection of that information, the means of storage of that information and indicates whether a data processing system matches, collates, or permits the comparison of personally identifiable information in one record system with personally identifiable information in another record system. The record systems maintained by the agency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24.14(1)</w:t>
      </w:r>
      <w:r>
        <w:rPr>
          <w:rFonts w:ascii="Times New Roman" w:hAnsi="Times New Roman"/>
          <w:b w:val="false"/>
          <w:i w:val="false"/>
          <w:color w:val="000000"/>
          <w:sz w:val="22"/>
        </w:rPr>
        <w:t> </w:t>
      </w:r>
      <w:r>
        <w:rPr>
          <w:rFonts w:ascii="Times New Roman" w:hAnsi="Times New Roman"/>
          <w:b w:val="false"/>
          <w:i/>
          <w:color w:val="000000"/>
          <w:sz w:val="22"/>
        </w:rPr>
        <w:t xml:space="preserve">Personnel files. </w:t>
      </w:r>
      <w:r>
        <w:rPr>
          <w:rFonts w:ascii="Times New Roman" w:hAnsi="Times New Roman"/>
          <w:b w:val="false"/>
          <w:i w:val="false"/>
          <w:color w:val="000000"/>
          <w:sz w:val="22"/>
        </w:rPr>
        <w:t>Employee personnel files containing information relative to an individual’s employment history, such as hiring and recruitment correspondence, salary and payroll and benefit information, record of personnel actions, military status, affirmative action statistics, education and training completed, professional certification achievements, professional organizational involvement, independence statements, performance evaluation reports, personal information data and so on.</w:t>
      </w:r>
    </w:p>
    <w:p>
      <w:pPr>
        <w:spacing w:before="0" w:after="0"/>
        <w:ind w:left="120"/>
        <w:jc w:val="both"/>
      </w:pPr>
      <w:r>
        <w:rPr>
          <w:rFonts w:ascii="Times New Roman" w:hAnsi="Times New Roman"/>
          <w:b w:val="false"/>
          <w:i w:val="false"/>
          <w:color w:val="000000"/>
          <w:sz w:val="22"/>
        </w:rPr>
        <w:t xml:space="preserve">These records contain personally identifiable information, collected under the authority of Iowa Code section </w:t>
      </w:r>
      <w:hyperlink r:id="rId30">
        <w:r>
          <w:rPr>
            <w:rStyle w:val="Hyperlink"/>
            <w:rFonts w:ascii="Times New Roman" w:hAnsi="Times New Roman"/>
            <w:b w:val="false"/>
            <w:i w:val="false"/>
            <w:color w:val="000000"/>
            <w:sz w:val="22"/>
          </w:rPr>
          <w:t>19A.11</w:t>
        </w:r>
      </w:hyperlink>
      <w:r>
        <w:rPr>
          <w:rFonts w:ascii="Times New Roman" w:hAnsi="Times New Roman"/>
          <w:b w:val="false"/>
          <w:i w:val="false"/>
          <w:color w:val="000000"/>
          <w:sz w:val="22"/>
        </w:rPr>
        <w:t xml:space="preserve">. The information is maintained on paper and certain parts are also contained on the agency’s data processing system as well as the state’s mainframe automated data processing system. Personal information in employee personnel files is confidential under the authority of Iowa Code section </w:t>
      </w:r>
      <w:hyperlink r:id="rId31">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24.14(2)</w:t>
      </w:r>
      <w:r>
        <w:rPr>
          <w:rFonts w:ascii="Times New Roman" w:hAnsi="Times New Roman"/>
          <w:b w:val="false"/>
          <w:i w:val="false"/>
          <w:color w:val="000000"/>
          <w:sz w:val="22"/>
        </w:rPr>
        <w:t> </w:t>
      </w:r>
      <w:r>
        <w:rPr>
          <w:rFonts w:ascii="Times New Roman" w:hAnsi="Times New Roman"/>
          <w:b w:val="false"/>
          <w:i/>
          <w:color w:val="000000"/>
          <w:sz w:val="22"/>
        </w:rPr>
        <w:t xml:space="preserve">Payroll records. </w:t>
      </w:r>
      <w:r>
        <w:rPr>
          <w:rFonts w:ascii="Times New Roman" w:hAnsi="Times New Roman"/>
          <w:b w:val="false"/>
          <w:i w:val="false"/>
          <w:color w:val="000000"/>
          <w:sz w:val="22"/>
        </w:rPr>
        <w:t>Records showing individual earnings, hours worked, leave usage, class, position, salary range, deductions, net pay with agency summaries, and other related information.</w:t>
      </w:r>
    </w:p>
    <w:p>
      <w:pPr>
        <w:spacing w:before="0" w:after="0"/>
        <w:ind w:left="120"/>
        <w:jc w:val="both"/>
      </w:pPr>
      <w:r>
        <w:rPr>
          <w:rFonts w:ascii="Times New Roman" w:hAnsi="Times New Roman"/>
          <w:b w:val="false"/>
          <w:i w:val="false"/>
          <w:color w:val="000000"/>
          <w:sz w:val="22"/>
        </w:rPr>
        <w:t xml:space="preserve">These records contain personally identifiable information, collected under the authority of Iowa Code section </w:t>
      </w:r>
      <w:hyperlink r:id="rId32">
        <w:r>
          <w:rPr>
            <w:rStyle w:val="Hyperlink"/>
            <w:rFonts w:ascii="Times New Roman" w:hAnsi="Times New Roman"/>
            <w:b w:val="false"/>
            <w:i w:val="false"/>
            <w:color w:val="000000"/>
            <w:sz w:val="22"/>
          </w:rPr>
          <w:t>91A.6</w:t>
        </w:r>
      </w:hyperlink>
      <w:r>
        <w:rPr>
          <w:rFonts w:ascii="Times New Roman" w:hAnsi="Times New Roman"/>
          <w:b w:val="false"/>
          <w:i w:val="false"/>
          <w:color w:val="000000"/>
          <w:sz w:val="22"/>
        </w:rPr>
        <w:t xml:space="preserve">. The information is maintained on paper with certain records maintained on the state’s payroll automated data processing system. Certain information contained in these records is confidential under the authority of Iowa Code section </w:t>
      </w:r>
      <w:hyperlink r:id="rId33">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The information cited in subrules </w:t>
      </w:r>
      <w:hyperlink r:id="rId34">
        <w:r>
          <w:rPr>
            <w:rStyle w:val="Hyperlink"/>
            <w:rFonts w:ascii="Times New Roman" w:hAnsi="Times New Roman"/>
            <w:b w:val="false"/>
            <w:i w:val="false"/>
            <w:color w:val="000000"/>
            <w:sz w:val="22"/>
          </w:rPr>
          <w:t>24.14(1)</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24.14(2)</w:t>
        </w:r>
      </w:hyperlink>
      <w:r>
        <w:rPr>
          <w:rFonts w:ascii="Times New Roman" w:hAnsi="Times New Roman"/>
          <w:b w:val="false"/>
          <w:i w:val="false"/>
          <w:color w:val="000000"/>
          <w:sz w:val="22"/>
        </w:rPr>
        <w:t xml:space="preserve"> above can be compared between record systems to a limited extent.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24.14(3)</w:t>
      </w:r>
      <w:r>
        <w:rPr>
          <w:rFonts w:ascii="Times New Roman" w:hAnsi="Times New Roman"/>
          <w:b w:val="false"/>
          <w:i w:val="false"/>
          <w:color w:val="000000"/>
          <w:sz w:val="22"/>
        </w:rPr>
        <w:t> </w:t>
      </w:r>
      <w:r>
        <w:rPr>
          <w:rFonts w:ascii="Times New Roman" w:hAnsi="Times New Roman"/>
          <w:b w:val="false"/>
          <w:i/>
          <w:color w:val="000000"/>
          <w:sz w:val="22"/>
        </w:rPr>
        <w:t xml:space="preserve">Litigation files. </w:t>
      </w:r>
      <w:r>
        <w:rPr>
          <w:rFonts w:ascii="Times New Roman" w:hAnsi="Times New Roman"/>
          <w:b w:val="false"/>
          <w:i w:val="false"/>
          <w:color w:val="000000"/>
          <w:sz w:val="22"/>
        </w:rPr>
        <w:t>These files or records contain information regarding litigation or anticipated litigation, which includes judicial and administrative proceedings. The records include briefs, depositions, docket sheets, documents, correspondence, attorneys’ notes, memoranda, research materials, witness information, investigation materials, information compiled under the direction of the attorney, and case management records. The files contain materials which are confidential as attorney work product and attorney-client communications. Some materials are confidential under other applicable provisions of law or because of a court order. Persons wishing copies of pleadings and other documents filed in litigation should obtain these from the clerk of the appropriate court which maintains the official copy.</w:t>
      </w:r>
    </w:p>
    <w:p>
      <w:pPr>
        <w:spacing w:before="0" w:after="0"/>
        <w:ind w:left="120"/>
        <w:jc w:val="both"/>
      </w:pPr>
      <w:r>
        <w:rPr>
          <w:rFonts w:ascii="Times New Roman" w:hAnsi="Times New Roman"/>
          <w:b/>
          <w:i w:val="false"/>
          <w:color w:val="000000"/>
          <w:sz w:val="22"/>
        </w:rPr>
        <w:t>81—24.15</w:t>
      </w:r>
      <w:r>
        <w:rPr>
          <w:rFonts w:ascii="Times New Roman" w:hAnsi="Times New Roman"/>
          <w:b/>
          <w:i w:val="false"/>
          <w:color w:val="000000"/>
          <w:sz w:val="22"/>
        </w:rPr>
        <w:t xml:space="preserve">(22)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agency other than record systems as defined in </w:t>
      </w:r>
      <w:hyperlink r:id="rId36">
        <w:r>
          <w:rPr>
            <w:rStyle w:val="Hyperlink"/>
            <w:rFonts w:ascii="Times New Roman" w:hAnsi="Times New Roman"/>
            <w:b w:val="false"/>
            <w:i w:val="false"/>
            <w:color w:val="000000"/>
            <w:sz w:val="22"/>
          </w:rPr>
          <w:t>24.2</w:t>
        </w:r>
      </w:hyperlink>
      <w:r>
        <w:rPr>
          <w:rFonts w:ascii="Times New Roman" w:hAnsi="Times New Roman"/>
          <w:b w:val="false"/>
          <w:i w:val="false"/>
          <w:color w:val="000000"/>
          <w:sz w:val="22"/>
        </w:rPr>
        <w:t xml:space="preserve">(22). These records are routinely available to the public. However, the agency’s files of these records may contain confidential information as discussed in </w:t>
      </w:r>
      <w:hyperlink r:id="rId37">
        <w:r>
          <w:rPr>
            <w:rStyle w:val="Hyperlink"/>
            <w:rFonts w:ascii="Times New Roman" w:hAnsi="Times New Roman"/>
            <w:b w:val="false"/>
            <w:i w:val="false"/>
            <w:color w:val="000000"/>
            <w:sz w:val="22"/>
          </w:rPr>
          <w:t>24.13</w:t>
        </w:r>
      </w:hyperlink>
      <w:r>
        <w:rPr>
          <w:rFonts w:ascii="Times New Roman" w:hAnsi="Times New Roman"/>
          <w:b w:val="false"/>
          <w:i w:val="false"/>
          <w:color w:val="000000"/>
          <w:sz w:val="22"/>
        </w:rPr>
        <w:t xml:space="preserve">(22). In addition, the records listed in </w:t>
      </w:r>
      <w:hyperlink r:id="rId38">
        <w:r>
          <w:rPr>
            <w:rStyle w:val="Hyperlink"/>
            <w:rFonts w:ascii="Times New Roman" w:hAnsi="Times New Roman"/>
            <w:b w:val="false"/>
            <w:i w:val="false"/>
            <w:color w:val="000000"/>
            <w:sz w:val="22"/>
          </w:rPr>
          <w:t>24.15(1)</w:t>
        </w:r>
      </w:hyperlink>
      <w:r>
        <w:rPr>
          <w:rFonts w:ascii="Times New Roman" w:hAnsi="Times New Roman"/>
          <w:b w:val="false"/>
          <w:i w:val="false"/>
          <w:color w:val="000000"/>
          <w:sz w:val="22"/>
        </w:rPr>
        <w:t xml:space="preserve"> to 24.15(3) may contain information about individuals; however, these records are not retrieved by the name of the individual. All records are stored both on paper and in automated data processing systems unless otherwise noted.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24.15(1)</w:t>
      </w:r>
      <w:r>
        <w:rPr>
          <w:rFonts w:ascii="Times New Roman" w:hAnsi="Times New Roman"/>
          <w:b w:val="false"/>
          <w:i w:val="false"/>
          <w:color w:val="000000"/>
          <w:sz w:val="22"/>
        </w:rPr>
        <w:t> </w:t>
      </w:r>
      <w:r>
        <w:rPr>
          <w:rFonts w:ascii="Times New Roman" w:hAnsi="Times New Roman"/>
          <w:b w:val="false"/>
          <w:i/>
          <w:color w:val="000000"/>
          <w:sz w:val="22"/>
        </w:rPr>
        <w:t xml:space="preserve">Published audit reports. </w:t>
      </w:r>
      <w:r>
        <w:rPr>
          <w:rFonts w:ascii="Times New Roman" w:hAnsi="Times New Roman"/>
          <w:b w:val="false"/>
          <w:i w:val="false"/>
          <w:color w:val="000000"/>
          <w:sz w:val="22"/>
        </w:rPr>
        <w:t xml:space="preserve">Audit reports and supporting working papers may contain information about individuals working for or doing business with the subject of the audit report. This information is collected pursuant to Iowa Code section </w:t>
      </w:r>
      <w:hyperlink r:id="rId39">
        <w:r>
          <w:rPr>
            <w:rStyle w:val="Hyperlink"/>
            <w:rFonts w:ascii="Times New Roman" w:hAnsi="Times New Roman"/>
            <w:b w:val="false"/>
            <w:i w:val="false"/>
            <w:color w:val="000000"/>
            <w:sz w:val="22"/>
          </w:rPr>
          <w:t>11.4</w:t>
        </w:r>
      </w:hyperlink>
      <w:r>
        <w:rPr>
          <w:rFonts w:ascii="Times New Roman" w:hAnsi="Times New Roman"/>
          <w:b w:val="false"/>
          <w:i w:val="false"/>
          <w:color w:val="000000"/>
          <w:sz w:val="22"/>
        </w:rPr>
        <w:t>. These reports and working papers are stored both on paper and microfiche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24.15(2)</w:t>
      </w:r>
      <w:r>
        <w:rPr>
          <w:rFonts w:ascii="Times New Roman" w:hAnsi="Times New Roman"/>
          <w:b w:val="false"/>
          <w:i w:val="false"/>
          <w:color w:val="000000"/>
          <w:sz w:val="22"/>
        </w:rPr>
        <w:t> </w:t>
      </w:r>
      <w:r>
        <w:rPr>
          <w:rFonts w:ascii="Times New Roman" w:hAnsi="Times New Roman"/>
          <w:b w:val="false"/>
          <w:i/>
          <w:color w:val="000000"/>
          <w:sz w:val="22"/>
        </w:rPr>
        <w:t xml:space="preserve">Rule-making records. </w:t>
      </w:r>
      <w:r>
        <w:rPr>
          <w:rFonts w:ascii="Times New Roman" w:hAnsi="Times New Roman"/>
          <w:b w:val="false"/>
          <w:i w:val="false"/>
          <w:color w:val="000000"/>
          <w:sz w:val="22"/>
        </w:rPr>
        <w:t xml:space="preserve">Rule-making records may contain information about individuals making written or oral comment on proposed rules. This information is collected pursuant to Iowa Code section </w:t>
      </w:r>
      <w:hyperlink r:id="rId40">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This information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24.15(3)</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Project reports, agency newsletters, brochures, etc., may contain information about individuals, including agency staff or members of agency committees. This information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24.15(4)</w:t>
      </w:r>
      <w:r>
        <w:rPr>
          <w:rFonts w:ascii="Times New Roman" w:hAnsi="Times New Roman"/>
          <w:b w:val="false"/>
          <w:i w:val="false"/>
          <w:color w:val="000000"/>
          <w:sz w:val="22"/>
        </w:rPr>
        <w:t> </w:t>
      </w:r>
      <w:r>
        <w:rPr>
          <w:rFonts w:ascii="Times New Roman" w:hAnsi="Times New Roman"/>
          <w:b w:val="false"/>
          <w:i/>
          <w:color w:val="000000"/>
          <w:sz w:val="22"/>
        </w:rPr>
        <w:t xml:space="preserve">Published materials. </w:t>
      </w:r>
      <w:r>
        <w:rPr>
          <w:rFonts w:ascii="Times New Roman" w:hAnsi="Times New Roman"/>
          <w:b w:val="false"/>
          <w:i w:val="false"/>
          <w:color w:val="000000"/>
          <w:sz w:val="22"/>
        </w:rPr>
        <w:t>The agency uses many legal and technical publications in its work. The public may inspect these publications upon request. Some of these materials may be protected by copyright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24.15(5)</w:t>
      </w:r>
      <w:r>
        <w:rPr>
          <w:rFonts w:ascii="Times New Roman" w:hAnsi="Times New Roman"/>
          <w:b w:val="false"/>
          <w:i w:val="false"/>
          <w:color w:val="000000"/>
          <w:sz w:val="22"/>
        </w:rPr>
        <w:t> </w:t>
      </w:r>
      <w:r>
        <w:rPr>
          <w:rFonts w:ascii="Times New Roman" w:hAnsi="Times New Roman"/>
          <w:b w:val="false"/>
          <w:i/>
          <w:color w:val="000000"/>
          <w:sz w:val="22"/>
        </w:rPr>
        <w:t xml:space="preserve">Agency employees’ handbook. </w:t>
      </w:r>
      <w:r>
        <w:rPr>
          <w:rFonts w:ascii="Times New Roman" w:hAnsi="Times New Roman"/>
          <w:b w:val="false"/>
          <w:i w:val="false"/>
          <w:color w:val="000000"/>
          <w:sz w:val="22"/>
        </w:rPr>
        <w:t>The agency employees’ handbook does not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24.15(6)</w:t>
      </w:r>
      <w:r>
        <w:rPr>
          <w:rFonts w:ascii="Times New Roman" w:hAnsi="Times New Roman"/>
          <w:b w:val="false"/>
          <w:i w:val="false"/>
          <w:color w:val="000000"/>
          <w:sz w:val="22"/>
        </w:rPr>
        <w:t> </w:t>
      </w:r>
      <w:r>
        <w:rPr>
          <w:rFonts w:ascii="Times New Roman" w:hAnsi="Times New Roman"/>
          <w:b w:val="false"/>
          <w:i/>
          <w:color w:val="000000"/>
          <w:sz w:val="22"/>
        </w:rPr>
        <w:t xml:space="preserve">Other records. </w:t>
      </w:r>
      <w:r>
        <w:rPr>
          <w:rFonts w:ascii="Times New Roman" w:hAnsi="Times New Roman"/>
          <w:b w:val="false"/>
          <w:i w:val="false"/>
          <w:color w:val="000000"/>
          <w:sz w:val="22"/>
        </w:rPr>
        <w:t>All other records that are not exempted from disclosure by law.</w:t>
      </w:r>
    </w:p>
    <w:p>
      <w:pPr>
        <w:spacing w:before="210" w:after="0"/>
        <w:ind w:left="120"/>
        <w:jc w:val="both"/>
      </w:pPr>
      <w:r>
        <w:rPr>
          <w:rFonts w:ascii="Times New Roman" w:hAnsi="Times New Roman"/>
          <w:b/>
          <w:i w:val="false"/>
          <w:color w:val="000000"/>
          <w:sz w:val="22"/>
        </w:rPr>
        <w:t>81—24.16</w:t>
      </w:r>
      <w:r>
        <w:rPr>
          <w:rFonts w:ascii="Times New Roman" w:hAnsi="Times New Roman"/>
          <w:b/>
          <w:i w:val="false"/>
          <w:color w:val="000000"/>
          <w:sz w:val="22"/>
        </w:rPr>
        <w:t xml:space="preserve">(22) </w:t>
      </w:r>
      <w:r>
        <w:rPr>
          <w:rFonts w:ascii="Times New Roman" w:hAnsi="Times New Roman"/>
          <w:b/>
          <w:i w:val="false"/>
          <w:color w:val="000000"/>
          <w:sz w:val="22"/>
        </w:rPr>
        <w:t xml:space="preserve">Data processing systems. </w:t>
      </w:r>
      <w:r>
        <w:rPr>
          <w:rFonts w:ascii="Times New Roman" w:hAnsi="Times New Roman"/>
          <w:b w:val="false"/>
          <w:i w:val="false"/>
          <w:color w:val="000000"/>
          <w:sz w:val="22"/>
        </w:rPr>
        <w:t xml:space="preserve">All data processing systems used by the agency for record systems described in </w:t>
      </w:r>
      <w:hyperlink r:id="rId41">
        <w:r>
          <w:rPr>
            <w:rStyle w:val="Hyperlink"/>
            <w:rFonts w:ascii="Times New Roman" w:hAnsi="Times New Roman"/>
            <w:b w:val="false"/>
            <w:i w:val="false"/>
            <w:color w:val="000000"/>
            <w:sz w:val="22"/>
          </w:rPr>
          <w:t>24.14</w:t>
        </w:r>
      </w:hyperlink>
      <w:r>
        <w:rPr>
          <w:rFonts w:ascii="Times New Roman" w:hAnsi="Times New Roman"/>
          <w:b w:val="false"/>
          <w:i w:val="false"/>
          <w:color w:val="000000"/>
          <w:sz w:val="22"/>
        </w:rPr>
        <w:t>(22) may permit the comparison of personally identifiable information in one record system with personally identifiable information in another record system.</w:t>
      </w:r>
    </w:p>
    <w:p>
      <w:pPr>
        <w:spacing w:before="0" w:after="0"/>
        <w:ind w:left="120"/>
        <w:jc w:val="both"/>
      </w:pPr>
      <w:r>
        <w:rPr>
          <w:rFonts w:ascii="Times New Roman" w:hAnsi="Times New Roman"/>
          <w:b/>
          <w:i w:val="false"/>
          <w:color w:val="000000"/>
          <w:sz w:val="22"/>
        </w:rPr>
        <w:t>81—24.17</w:t>
      </w:r>
      <w:r>
        <w:rPr>
          <w:rFonts w:ascii="Times New Roman" w:hAnsi="Times New Roman"/>
          <w:b/>
          <w:i w:val="false"/>
          <w:color w:val="000000"/>
          <w:sz w:val="22"/>
        </w:rPr>
        <w:t xml:space="preserve">(22)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does not: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Require the agency to index or retrieve records which contain information about individuals by that person’s name or other personal identifier.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Make available to the general public records which would otherwise not be available under the public records law, Iowa Code chapter </w:t>
      </w:r>
      <w:hyperlink r:id="rId42">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Govern the maintenance or disclosure of, notification of or access to, records in the possession of the agency which are governed by the rules of another agency.</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43">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4/29/88, Notice 3/23/88—published 5/18/88, effective 6/22/88]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4.4.pdf" Type="http://schemas.openxmlformats.org/officeDocument/2006/relationships/hyperlink" Id="rId5"/>
    <Relationship TargetMode="External" Target="https://www.legis.iowa.gov/docs/iac/rule/81.24.10.pdf" Type="http://schemas.openxmlformats.org/officeDocument/2006/relationships/hyperlink" Id="rId6"/>
    <Relationship TargetMode="External" Target="https://www.legis.iowa.gov/docs/ico/chapter/2A.3.pdf" Type="http://schemas.openxmlformats.org/officeDocument/2006/relationships/hyperlink" Id="rId7"/>
    <Relationship TargetMode="External" Target="https://www.legis.iowa.gov/docs/ico/chapter/22.pdf" Type="http://schemas.openxmlformats.org/officeDocument/2006/relationships/hyperlink" Id="rId8"/>
    <Relationship TargetMode="External" Target="https://www.legis.iowa.gov/docs/iac/rule/81.24.7.pdf" Type="http://schemas.openxmlformats.org/officeDocument/2006/relationships/hyperlink" Id="rId9"/>
    <Relationship TargetMode="External" Target="https://www.legis.iowa.gov/docs/iac/rule/81.24.6.pdf" Type="http://schemas.openxmlformats.org/officeDocument/2006/relationships/hyperlink" Id="rId10"/>
    <Relationship TargetMode="External" Target="https://www.legis.iowa.gov/docs/ico/chapter/22.7.pdf" Type="http://schemas.openxmlformats.org/officeDocument/2006/relationships/hyperlink" Id="rId11"/>
    <Relationship TargetMode="External" Target="https://www.legis.iowa.gov/docs/ico/chapter/22.7.pdf" Type="http://schemas.openxmlformats.org/officeDocument/2006/relationships/hyperlink" Id="rId12"/>
    <Relationship TargetMode="External" Target="https://www.legis.iowa.gov/docs/ico/chapter/72.3.pdf" Type="http://schemas.openxmlformats.org/officeDocument/2006/relationships/hyperlink" Id="rId13"/>
    <Relationship TargetMode="External" Target="https://www.legis.iowa.gov/docs/ico/chapter/422.72.pdf" Type="http://schemas.openxmlformats.org/officeDocument/2006/relationships/hyperlink" Id="rId14"/>
    <Relationship TargetMode="External" Target="https://www.legis.iowa.gov/docs/ico/chapter/22.7.pdf" Type="http://schemas.openxmlformats.org/officeDocument/2006/relationships/hyperlink" Id="rId15"/>
    <Relationship TargetMode="External" Target="https://www.legis.iowa.gov/docs/ico/chapter/17A.3.pdf" Type="http://schemas.openxmlformats.org/officeDocument/2006/relationships/hyperlink" Id="rId16"/>
    <Relationship TargetMode="External" Target="https://www.legis.iowa.gov/docs/ico/chapter/17A.2.pdf" Type="http://schemas.openxmlformats.org/officeDocument/2006/relationships/hyperlink" Id="rId17"/>
    <Relationship TargetMode="External" Target="https://www.legis.iowa.gov/docs/ico/chapter/17A.3.pdf" Type="http://schemas.openxmlformats.org/officeDocument/2006/relationships/hyperlink" Id="rId18"/>
    <Relationship TargetMode="External" Target="https://www.legis.iowa.gov/docs/ico/chapter/11.4.pdf" Type="http://schemas.openxmlformats.org/officeDocument/2006/relationships/hyperlink" Id="rId19"/>
    <Relationship TargetMode="External" Target="https://www.legis.iowa.gov/docs/ico/chapter/11.17.pdf" Type="http://schemas.openxmlformats.org/officeDocument/2006/relationships/hyperlink" Id="rId20"/>
    <Relationship TargetMode="External" Target="https://www.legis.iowa.gov/docs/iac/rule/81.25.9.pdf" Type="http://schemas.openxmlformats.org/officeDocument/2006/relationships/hyperlink" Id="rId21"/>
    <Relationship TargetMode="External" Target="https://www.legis.iowa.gov/docs/ico/chapter/22.7.pdf" Type="http://schemas.openxmlformats.org/officeDocument/2006/relationships/hyperlink" Id="rId22"/>
    <Relationship TargetMode="External" Target="https://www.legis.iowa.gov/docs/ico/chapter/22.7.pdf" Type="http://schemas.openxmlformats.org/officeDocument/2006/relationships/hyperlink" Id="rId23"/>
    <Relationship TargetMode="External" Target="https://www.legis.iowa.gov/docs/ico/chapter/622.10.pdf" Type="http://schemas.openxmlformats.org/officeDocument/2006/relationships/hyperlink" Id="rId24"/>
    <Relationship TargetMode="External" Target="https://www.legis.iowa.gov/docs/ico/chapter/622.11.pdf" Type="http://schemas.openxmlformats.org/officeDocument/2006/relationships/hyperlink" Id="rId25"/>
    <Relationship TargetMode="External" Target="https://www.legis.iowa.gov/docs/ico/chapter/622.10.pdf" Type="http://schemas.openxmlformats.org/officeDocument/2006/relationships/hyperlink" Id="rId26"/>
    <Relationship TargetMode="External" Target="https://www.legis.iowa.gov/docs/ico/chapter/622.11.pdf" Type="http://schemas.openxmlformats.org/officeDocument/2006/relationships/hyperlink" Id="rId27"/>
    <Relationship TargetMode="External" Target="https://www.legis.iowa.gov/docs/ico/chapter/22.7.pdf" Type="http://schemas.openxmlformats.org/officeDocument/2006/relationships/hyperlink" Id="rId28"/>
    <Relationship TargetMode="External" Target="https://www.legis.iowa.gov/docs/iac/rule/81.24.2.pdf" Type="http://schemas.openxmlformats.org/officeDocument/2006/relationships/hyperlink" Id="rId29"/>
    <Relationship TargetMode="External" Target="https://www.legis.iowa.gov/docs/ico/chapter/19A.11.pdf" Type="http://schemas.openxmlformats.org/officeDocument/2006/relationships/hyperlink" Id="rId30"/>
    <Relationship TargetMode="External" Target="https://www.legis.iowa.gov/docs/ico/chapter/22.7.pdf" Type="http://schemas.openxmlformats.org/officeDocument/2006/relationships/hyperlink" Id="rId31"/>
    <Relationship TargetMode="External" Target="https://www.legis.iowa.gov/docs/ico/chapter/91A.6.pdf" Type="http://schemas.openxmlformats.org/officeDocument/2006/relationships/hyperlink" Id="rId32"/>
    <Relationship TargetMode="External" Target="https://www.legis.iowa.gov/docs/ico/chapter/22.7.pdf" Type="http://schemas.openxmlformats.org/officeDocument/2006/relationships/hyperlink" Id="rId33"/>
    <Relationship TargetMode="External" Target="https://www.legis.iowa.gov/docs/iac/rule/81.24.14.pdf" Type="http://schemas.openxmlformats.org/officeDocument/2006/relationships/hyperlink" Id="rId34"/>
    <Relationship TargetMode="External" Target="https://www.legis.iowa.gov/docs/iac/rule/81.24.14.pdf" Type="http://schemas.openxmlformats.org/officeDocument/2006/relationships/hyperlink" Id="rId35"/>
    <Relationship TargetMode="External" Target="https://www.legis.iowa.gov/docs/iac/rule/81.24.2.pdf" Type="http://schemas.openxmlformats.org/officeDocument/2006/relationships/hyperlink" Id="rId36"/>
    <Relationship TargetMode="External" Target="https://www.legis.iowa.gov/docs/iac/rule/81.24.13.pdf" Type="http://schemas.openxmlformats.org/officeDocument/2006/relationships/hyperlink" Id="rId37"/>
    <Relationship TargetMode="External" Target="https://www.legis.iowa.gov/docs/iac/rule/81.24.15.pdf" Type="http://schemas.openxmlformats.org/officeDocument/2006/relationships/hyperlink" Id="rId38"/>
    <Relationship TargetMode="External" Target="https://www.legis.iowa.gov/docs/ico/chapter/11.4.pdf" Type="http://schemas.openxmlformats.org/officeDocument/2006/relationships/hyperlink" Id="rId39"/>
    <Relationship TargetMode="External" Target="https://www.legis.iowa.gov/docs/ico/chapter/17A.4.pdf" Type="http://schemas.openxmlformats.org/officeDocument/2006/relationships/hyperlink" Id="rId40"/>
    <Relationship TargetMode="External" Target="https://www.legis.iowa.gov/docs/iac/rule/81.24.14.pdf" Type="http://schemas.openxmlformats.org/officeDocument/2006/relationships/hyperlink" Id="rId41"/>
    <Relationship TargetMode="External" Target="https://www.legis.iowa.gov/docs/ico/chapter/22.pdf" Type="http://schemas.openxmlformats.org/officeDocument/2006/relationships/hyperlink" Id="rId42"/>
    <Relationship TargetMode="External" Target="https://www.legis.iowa.gov/docs/ico/chapter/22.11.pdf" Type="http://schemas.openxmlformats.org/officeDocument/2006/relationships/hyperlink" Id="rId4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