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FAIR INFORMATION PRACTICES</w:t>
      </w:r>
    </w:p>
    <w:p>
      <w:pPr>
        <w:spacing w:before="0" w:after="0"/>
        <w:ind w:left="120"/>
        <w:jc w:val="center"/>
      </w:pPr>
      <w:r>
        <w:rPr>
          <w:rFonts w:ascii="Times New Roman" w:hAnsi="Times New Roman"/>
          <w:b w:val="false"/>
          <w:i w:val="false"/>
          <w:color w:val="000000"/>
          <w:sz w:val="14"/>
        </w:rPr>
        <w:t>[Prior to 8/21/91, see Veterans Affairs Department[841] Ch 4]</w:t>
      </w:r>
    </w:p>
    <w:p>
      <w:pPr>
        <w:spacing w:before="0" w:after="0"/>
        <w:ind w:left="120"/>
        <w:jc w:val="center"/>
      </w:pPr>
      <w:r>
        <w:rPr>
          <w:rFonts w:ascii="Times New Roman" w:hAnsi="Times New Roman"/>
          <w:b w:val="false"/>
          <w:i w:val="false"/>
          <w:color w:val="000000"/>
          <w:sz w:val="14"/>
        </w:rPr>
        <w:t>[Prior to 1/6/93, see Veterans Affairs Division[613] Ch 4]</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Iowa commission of veterans affairs hereby adopts, with the following exceptions and amendments, the Uniform Administrative Rules pertaining to fair information practices which are printed in the first Volume of the Iowa Administrative Code.</w:t>
      </w:r>
    </w:p>
    <w:p>
      <w:pPr>
        <w:spacing w:before="0" w:after="0"/>
        <w:ind w:left="120"/>
        <w:jc w:val="both"/>
      </w:pPr>
      <w:r>
        <w:rPr>
          <w:rFonts w:ascii="Times New Roman" w:hAnsi="Times New Roman"/>
          <w:b/>
          <w:i w:val="false"/>
          <w:color w:val="000000"/>
          <w:sz w:val="22"/>
        </w:rPr>
        <w:t>801—6.1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commission adopts the definitions in the Uniform Rules with the noted amendments and those additional definitions listed below.</w:t>
      </w:r>
    </w:p>
    <w:p>
      <w:pPr>
        <w:spacing w:before="0" w:after="0"/>
        <w:ind w:left="120"/>
        <w:jc w:val="both"/>
      </w:pPr>
      <w:r>
        <w:rPr>
          <w:rFonts w:ascii="Times New Roman" w:hAnsi="Times New Roman"/>
          <w:b w:val="false"/>
          <w:i/>
          <w:color w:val="000000"/>
          <w:sz w:val="22"/>
        </w:rPr>
        <w:t>“Agency”.</w:t>
      </w:r>
      <w:r>
        <w:rPr>
          <w:rFonts w:ascii="Times New Roman" w:hAnsi="Times New Roman"/>
          <w:b w:val="false"/>
          <w:i w:val="false"/>
          <w:color w:val="000000"/>
          <w:sz w:val="22"/>
        </w:rPr>
        <w:t xml:space="preserve"> In lieu of the words “(official or body issuing these rules)”, insert “Iowa commission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means a person who has applied for or receives services or assistance from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 xml:space="preserve">means the agency or person lawfully delegated authority by the agency to act for the agency in implementing Iowa Code chapter </w:t>
      </w:r>
      <w:hyperlink r:id="rId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For Iowa Veterans Home records, the custodian is the commandant. For all other commission records, the custodian is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“Legal representative” </w:t>
      </w:r>
      <w:r>
        <w:rPr>
          <w:rFonts w:ascii="Times New Roman" w:hAnsi="Times New Roman"/>
          <w:b w:val="false"/>
          <w:i w:val="false"/>
          <w:color w:val="000000"/>
          <w:sz w:val="22"/>
        </w:rPr>
        <w:t>means a person recognized by law as standing in the place of or representing the interests of another for one or more purposes. For example, guardians, conservators, attorneys, next-of-kin, executors, or administrators for a deceased person are legal representatives for certain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health information” </w:t>
      </w:r>
      <w:r>
        <w:rPr>
          <w:rFonts w:ascii="Times New Roman" w:hAnsi="Times New Roman"/>
          <w:b w:val="false"/>
          <w:i w:val="false"/>
          <w:color w:val="000000"/>
          <w:sz w:val="22"/>
        </w:rPr>
        <w:t xml:space="preserve">means oral, written, or otherwise recorded information which indicates the identity of a person receiving professional services, as defined in Iowa Code section </w:t>
      </w:r>
      <w:hyperlink r:id="rId6">
        <w:r>
          <w:rPr>
            <w:rStyle w:val="Hyperlink"/>
            <w:rFonts w:ascii="Times New Roman" w:hAnsi="Times New Roman"/>
            <w:b w:val="false"/>
            <w:i w:val="false"/>
            <w:color w:val="000000"/>
            <w:sz w:val="22"/>
          </w:rPr>
          <w:t>228.1(5)</w:t>
        </w:r>
      </w:hyperlink>
      <w:r>
        <w:rPr>
          <w:rFonts w:ascii="Times New Roman" w:hAnsi="Times New Roman"/>
          <w:b w:val="false"/>
          <w:i w:val="false"/>
          <w:color w:val="000000"/>
          <w:sz w:val="22"/>
        </w:rPr>
        <w:t>, and which relates to diagnosis, course, or treatment of the person’s mental or emotional condition. Mental or emotional conditions include mental illness, mental retardation, degenerative neurological conditions, and any other condition identified in professionally recognized diagnostic manuals for mental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“Substance abuse information” </w:t>
      </w:r>
      <w:r>
        <w:rPr>
          <w:rFonts w:ascii="Times New Roman" w:hAnsi="Times New Roman"/>
          <w:b w:val="false"/>
          <w:i w:val="false"/>
          <w:color w:val="000000"/>
          <w:sz w:val="22"/>
        </w:rPr>
        <w:t>means information which indicates the identity, diagnosis, prognosis or treatment of any person in an alcohol or drug abuse program.</w:t>
      </w:r>
    </w:p>
    <w:p>
      <w:pPr>
        <w:spacing w:before="0" w:after="0"/>
        <w:ind w:left="120"/>
        <w:jc w:val="both"/>
      </w:pPr>
      <w:r>
        <w:rPr>
          <w:rFonts w:ascii="Times New Roman" w:hAnsi="Times New Roman"/>
          <w:b/>
          <w:i w:val="false"/>
          <w:color w:val="000000"/>
          <w:sz w:val="22"/>
        </w:rPr>
        <w:t>801—6.3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 record pertaining to the Iowa Veterans Home should be addressed to the Commandant, Iowa Veterans Home, 1301 Summit, Marshalltown, Iowa 50158-5485. For all other commission records, or if the location of the record is unknown by the requester, the request for access to a record shall be directed to the Executive Director, Camp Dodge, 7105 NW 70th Avenue, Johnston, Iowa 50131-1824. If the request for access to a record is misdirected, agency personnel will promptly forward the request to the appropriate person within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and, if agency does not have customary office hours of at least thirty hours per week, insert hours specified in Iowa Code section </w:t>
      </w:r>
      <w:hyperlink r:id="rId7">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6.3(7)</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p>
    <w:p>
      <w:pPr>
        <w:spacing w:before="0" w:after="0"/>
        <w:ind w:left="120"/>
        <w:jc w:val="both"/>
      </w:pPr>
      <w:r>
        <w:rPr>
          <w:rFonts w:ascii="Times New Roman" w:hAnsi="Times New Roman"/>
          <w:b w:val="false"/>
          <w:i w:val="false"/>
          <w:color w:val="000000"/>
          <w:sz w:val="22"/>
        </w:rPr>
        <w:t>In lieu of the words “(specify time period)”, insert “one-half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3341C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801—6.6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p>
    <w:p>
      <w:pPr>
        <w:spacing w:before="0" w:after="0"/>
        <w:ind w:left="120"/>
        <w:jc w:val="both"/>
      </w:pPr>
      <w:r>
        <w:rPr>
          <w:rFonts w:ascii="Times New Roman" w:hAnsi="Times New Roman"/>
          <w:b w:val="false"/>
          <w:i w:val="false"/>
          <w:color w:val="000000"/>
          <w:sz w:val="22"/>
        </w:rPr>
        <w:t>In lieu of the words “(designate office)”, insert “office of the Iowa commission of veterans affairs”.</w:t>
      </w:r>
    </w:p>
    <w:p>
      <w:pPr>
        <w:spacing w:before="0" w:after="0"/>
        <w:ind w:left="120"/>
        <w:jc w:val="both"/>
      </w:pPr>
      <w:r>
        <w:rPr>
          <w:rFonts w:ascii="Times New Roman" w:hAnsi="Times New Roman"/>
          <w:b/>
          <w:i w:val="false"/>
          <w:color w:val="000000"/>
          <w:sz w:val="22"/>
        </w:rPr>
        <w:t>801—6.7</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To the extent permitted by any applicable provision of law, a person who is the subject of a confidential record may have a copy of the portion of that record concerning the subject disclosed to a third party. A request for such a disclosure must be in writing and must identify the particular record or records that may be disclosed, and the particular person or class of persons to whom the record may be disclosed and the time period during which the record may be disclosed. The person who is the subject of the record and, where applicable, the person to whom the record is to be disclosed, may be required to provide proof of identity.</w:t>
      </w:r>
    </w:p>
    <w:p>
      <w:pPr>
        <w:spacing w:before="0" w:after="0"/>
        <w:ind w:left="120"/>
        <w:jc w:val="both"/>
      </w:pPr>
      <w:r>
        <w:rPr>
          <w:rFonts w:ascii="Times New Roman" w:hAnsi="Times New Roman"/>
          <w:b w:val="false"/>
          <w:i w:val="false"/>
          <w:color w:val="000000"/>
          <w:sz w:val="22"/>
        </w:rPr>
        <w:t xml:space="preserve">No confidential information about clients of the agency shall be released without the client’s consent, except as provided in rule </w:t>
      </w:r>
      <w:hyperlink r:id="rId8">
        <w:r>
          <w:rPr>
            <w:rStyle w:val="Hyperlink"/>
            <w:rFonts w:ascii="Times New Roman" w:hAnsi="Times New Roman"/>
            <w:b w:val="false"/>
            <w:i w:val="false"/>
            <w:color w:val="000000"/>
            <w:sz w:val="22"/>
          </w:rPr>
          <w:t>801—6.10</w:t>
        </w:r>
      </w:hyperlink>
      <w:r>
        <w:rPr>
          <w:rFonts w:ascii="Times New Roman" w:hAnsi="Times New Roman"/>
          <w:b w:val="false"/>
          <w:i w:val="false"/>
          <w:color w:val="000000"/>
          <w:sz w:val="22"/>
        </w:rPr>
        <w:t>(17A,22). Release of information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Granting access to or allowing the copying of a record,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Providing information either in writing or orally,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Acknowledging information to be true or false.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w:t>
      </w:r>
      <w:r>
        <w:rPr>
          <w:rFonts w:ascii="Times New Roman" w:hAnsi="Times New Roman"/>
          <w:b w:val="false"/>
          <w:i w:val="false"/>
          <w:color w:val="000000"/>
          <w:sz w:val="22"/>
        </w:rPr>
        <w:t> </w:t>
      </w:r>
      <w:r>
        <w:rPr>
          <w:rFonts w:ascii="Times New Roman" w:hAnsi="Times New Roman"/>
          <w:b w:val="false"/>
          <w:i/>
          <w:color w:val="000000"/>
          <w:sz w:val="22"/>
        </w:rPr>
        <w:t xml:space="preserve">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Agency forms are to be used for releases by the subject as noted below. However, information may be released with authorization on a form from another source providing that such meets the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Obtaining information from a third party. The Iowa Veterans Home is required to obtain information to establish eligibility, provide services and determine charges. Requests to third parties for this information involve release of confidential identifying information about clients. Consent to Release of Information, Form 475-0859, is used for releases by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to a third party. At the request of the subject, the Iowa Veterans Home releases information to third parties. Form 475-0859, Consent to Release of Information, or Form 475-0700, Release of Condition Information, is used, depending on the nature of the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Mental health and substance abuse information. Mental health or substance abuse information can be released only by completion of the specific authorization section of Form 475-0859 or a similar form from another source that meets the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Photographs or videotapes. Form 475-1073, Authorization to Take and Use Photographs/Videotapes, is used for permission to use photographs or videotapes for the purposes specified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w:t>
      </w:r>
      <w:r>
        <w:rPr>
          <w:rFonts w:ascii="Times New Roman" w:hAnsi="Times New Roman"/>
          <w:b w:val="false"/>
          <w:i w:val="false"/>
          <w:color w:val="000000"/>
          <w:sz w:val="22"/>
        </w:rPr>
        <w:t> </w:t>
      </w:r>
      <w:r>
        <w:rPr>
          <w:rFonts w:ascii="Times New Roman" w:hAnsi="Times New Roman"/>
          <w:b w:val="false"/>
          <w:i/>
          <w:color w:val="000000"/>
          <w:sz w:val="22"/>
        </w:rPr>
        <w:t xml:space="preserve">Exceptions to use of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Counsel. Appearance of counsel before the agency on behalf of a person who is the subject of a confidential record is deemed to constitute consent for the agency to disclose records about that person to the person’s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Public official. A letter from the subject to a public official which seeks the official’s intervention on behalf of the subject in a matter that involves the agency shall be treated as an authorization to release information. The agency shall release sufficient information about the subject to the official to resolve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Medical emergency. Agency staff may authorize release of confidential information to medical personnel in a medical emergency if the subject is unable to give or withhold consent. As soon as possible after the release of information, the subject shall be advised of the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Abuse information. Consent to release information is not required to report suspected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w:t>
      </w:r>
      <w:r>
        <w:rPr>
          <w:rFonts w:ascii="Times New Roman" w:hAnsi="Times New Roman"/>
          <w:b w:val="false"/>
          <w:i w:val="false"/>
          <w:color w:val="000000"/>
          <w:sz w:val="22"/>
        </w:rPr>
        <w:t> </w:t>
      </w:r>
      <w:r>
        <w:rPr>
          <w:rFonts w:ascii="Times New Roman" w:hAnsi="Times New Roman"/>
          <w:b w:val="false"/>
          <w:i/>
          <w:color w:val="000000"/>
          <w:sz w:val="22"/>
        </w:rPr>
        <w:t xml:space="preserve">Consent by subject’s legal representative.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Exercise of right. The subject’s rights under this rule may also be exercised by the subject’s legal representative, except as provided in paragraph </w:t>
      </w:r>
      <w:hyperlink r:id="rId9">
        <w:r>
          <w:rPr>
            <w:rStyle w:val="Hyperlink"/>
            <w:rFonts w:ascii="Times New Roman" w:hAnsi="Times New Roman"/>
            <w:b w:val="false"/>
            <w:i w:val="false"/>
            <w:color w:val="000000"/>
            <w:sz w:val="22"/>
          </w:rPr>
          <w:t>6.7(3)</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Scope of authority. Legal representatives may act only within the scope of their authority. For example, court-appointed conservators and protective payees appointed by an agency shall have access to and authority to release the following information only: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Name and address of client.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Amounts of assistance or type of financial services received.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Information about the economic circumstances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Substance abuse information. Only the subject can consent to the disclosure of substance abuse information, regardless of the subject’s age 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act in good faith. If the agency has reason to believe that the legal representative is not acting in good faith in the best interests of the subject, the agency may refuse to release information on the authorization of the legal representative.</w:t>
      </w:r>
    </w:p>
    <w:p>
      <w:pPr>
        <w:spacing w:before="0" w:after="0"/>
        <w:ind w:left="120"/>
        <w:jc w:val="both"/>
      </w:pPr>
      <w:r>
        <w:rPr>
          <w:rFonts w:ascii="Times New Roman" w:hAnsi="Times New Roman"/>
          <w:b/>
          <w:i w:val="false"/>
          <w:color w:val="000000"/>
          <w:sz w:val="22"/>
        </w:rPr>
        <w:t>801—6.8</w:t>
      </w:r>
      <w:r>
        <w:rPr>
          <w:rFonts w:ascii="Times New Roman" w:hAnsi="Times New Roman"/>
          <w:b/>
          <w:i w:val="false"/>
          <w:color w:val="000000"/>
          <w:sz w:val="22"/>
        </w:rPr>
        <w:t xml:space="preserve">(17A,22)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When the agency requests a person to supply information about that person, the agency shall notify the person of the use that will be made of the information, which persons outside the agency might routinely be provided this information, which parts of the requested information are required and which are optional, and the consequences of a failure to provide the information requested. This notice may be given in these rules, on the written form used to collect the information, on a separate fact sheet or letter, in brochures, in formal agreements, in contracts, in handbooks, in manuals, verbally, or by other appropriate means.</w:t>
      </w:r>
    </w:p>
    <w:p>
      <w:pPr>
        <w:spacing w:before="0" w:after="0"/>
        <w:ind w:left="120"/>
        <w:jc w:val="both"/>
      </w:pPr>
      <w:r>
        <w:rPr>
          <w:rFonts w:ascii="Times New Roman" w:hAnsi="Times New Roman"/>
          <w:b w:val="false"/>
          <w:i w:val="false"/>
          <w:color w:val="000000"/>
          <w:sz w:val="22"/>
        </w:rPr>
        <w:t>The notice shall generally be given at the first contact with the agency and need not be repeated at every following contact. Where appropriate, the notice may be given to a person’s legal representative. Notice may be withheld in an emergency.</w:t>
      </w:r>
    </w:p>
    <w:p>
      <w:pPr>
        <w:spacing w:before="0" w:after="0"/>
        <w:ind w:left="120"/>
        <w:jc w:val="both"/>
      </w:pPr>
      <w:r>
        <w:rPr>
          <w:rFonts w:ascii="Times New Roman" w:hAnsi="Times New Roman"/>
          <w:b w:val="false"/>
          <w:i w:val="false"/>
          <w:color w:val="000000"/>
          <w:sz w:val="22"/>
        </w:rPr>
        <w:t>In general, the agency requests information to determine eligibility, to determine changes for services, to provide appropriate services or treatment, and to perform administrative functions. Information is routinely shared outside the agency when required by rules or law. Consequences of failure to provide information include ineligibility for services, denial of services, or provision of inadequate services.</w:t>
      </w:r>
    </w:p>
    <w:p>
      <w:pPr>
        <w:spacing w:before="0" w:after="0"/>
        <w:ind w:left="120"/>
        <w:jc w:val="both"/>
      </w:pPr>
      <w:r>
        <w:rPr>
          <w:rFonts w:ascii="Times New Roman" w:hAnsi="Times New Roman"/>
          <w:b/>
          <w:i w:val="false"/>
          <w:color w:val="000000"/>
          <w:sz w:val="22"/>
        </w:rPr>
        <w:t>801—6.9</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The agency shall release confidential records to the subject of the record, except as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w:t>
      </w:r>
      <w:r>
        <w:rPr>
          <w:rFonts w:ascii="Times New Roman" w:hAnsi="Times New Roman"/>
          <w:b w:val="false"/>
          <w:i w:val="false"/>
          <w:color w:val="000000"/>
          <w:sz w:val="22"/>
        </w:rPr>
        <w:t> </w:t>
      </w:r>
      <w:r>
        <w:rPr>
          <w:rFonts w:ascii="Times New Roman" w:hAnsi="Times New Roman"/>
          <w:b w:val="false"/>
          <w:i w:val="false"/>
          <w:color w:val="000000"/>
          <w:sz w:val="22"/>
        </w:rPr>
        <w:t>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10">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Iowa Code. (See Iowa Code section </w:t>
      </w:r>
      <w:hyperlink r:id="rId11">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agency may withhold information 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agency may take reasonable steps to protect confidential information relating to another subject.</w:t>
      </w:r>
    </w:p>
    <w:p>
      <w:pPr>
        <w:spacing w:before="0" w:after="0"/>
        <w:ind w:left="120"/>
        <w:jc w:val="both"/>
      </w:pPr>
      <w:r>
        <w:rPr>
          <w:rFonts w:ascii="Times New Roman" w:hAnsi="Times New Roman"/>
          <w:b/>
          <w:i w:val="false"/>
          <w:color w:val="000000"/>
          <w:sz w:val="22"/>
        </w:rPr>
        <w:t>801—6.10</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 without consent of the subject. </w:t>
      </w:r>
      <w:r>
        <w:rPr>
          <w:rFonts w:ascii="Times New Roman" w:hAnsi="Times New Roman"/>
          <w:b w:val="false"/>
          <w:i w:val="false"/>
          <w:color w:val="000000"/>
          <w:sz w:val="22"/>
        </w:rPr>
        <w:t>Open records are routinely disclosed without consent of the subject. To the extent allowed by law, disclosure of confidential records may occur without consent of the subject or the subject’s legal representative. The custodian of the record shall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w:t>
      </w:r>
      <w:r>
        <w:rPr>
          <w:rFonts w:ascii="Times New Roman" w:hAnsi="Times New Roman"/>
          <w:b w:val="false"/>
          <w:i w:val="false"/>
          <w:color w:val="000000"/>
          <w:sz w:val="22"/>
        </w:rPr>
        <w:t> </w:t>
      </w:r>
      <w:r>
        <w:rPr>
          <w:rFonts w:ascii="Times New Roman" w:hAnsi="Times New Roman"/>
          <w:b w:val="false"/>
          <w:i/>
          <w:color w:val="000000"/>
          <w:sz w:val="22"/>
        </w:rPr>
        <w:t xml:space="preserve">Internal use. </w:t>
      </w:r>
      <w:r>
        <w:rPr>
          <w:rFonts w:ascii="Times New Roman" w:hAnsi="Times New Roman"/>
          <w:b w:val="false"/>
          <w:i w:val="false"/>
          <w:color w:val="000000"/>
          <w:sz w:val="22"/>
        </w:rPr>
        <w:t>Confidential information may be disclosed to employees and agents of the agency as needed for the performance of their duties. The custodian of the record shall determine what constitutes legitimate need to use confidential records.</w:t>
      </w:r>
    </w:p>
    <w:p>
      <w:pPr>
        <w:spacing w:before="0" w:after="0"/>
        <w:ind w:left="120"/>
        <w:jc w:val="both"/>
      </w:pPr>
      <w:r>
        <w:rPr>
          <w:rFonts w:ascii="Times New Roman" w:hAnsi="Times New Roman"/>
          <w:b w:val="false"/>
          <w:i w:val="false"/>
          <w:color w:val="000000"/>
          <w:sz w:val="22"/>
        </w:rPr>
        <w:t>People affected by this rule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Field work or practicum students, participants of work placement programs and volunteers working under the direction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Commission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Consultants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Policy review and advisory committees.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6.10(2)</w:t>
      </w:r>
      <w:r>
        <w:rPr>
          <w:rFonts w:ascii="Times New Roman" w:hAnsi="Times New Roman"/>
          <w:b w:val="false"/>
          <w:i w:val="false"/>
          <w:color w:val="000000"/>
          <w:sz w:val="22"/>
        </w:rPr>
        <w:t> </w:t>
      </w:r>
      <w:r>
        <w:rPr>
          <w:rFonts w:ascii="Times New Roman" w:hAnsi="Times New Roman"/>
          <w:b w:val="false"/>
          <w:i/>
          <w:color w:val="000000"/>
          <w:sz w:val="22"/>
        </w:rPr>
        <w:t xml:space="preserve">Medical emergency. </w:t>
      </w:r>
      <w:r>
        <w:rPr>
          <w:rFonts w:ascii="Times New Roman" w:hAnsi="Times New Roman"/>
          <w:b w:val="false"/>
          <w:i w:val="false"/>
          <w:color w:val="000000"/>
          <w:sz w:val="22"/>
        </w:rPr>
        <w:t xml:space="preserve">Confidential information may be disclosed in a medical emergency if the subject is unable to give or withhold consent in accordance with paragraph </w:t>
      </w:r>
      <w:hyperlink r:id="rId12">
        <w:r>
          <w:rPr>
            <w:rStyle w:val="Hyperlink"/>
            <w:rFonts w:ascii="Times New Roman" w:hAnsi="Times New Roman"/>
            <w:b w:val="false"/>
            <w:i w:val="false"/>
            <w:color w:val="000000"/>
            <w:sz w:val="22"/>
          </w:rPr>
          <w:t>6.7(2)</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6.10(3)</w:t>
      </w:r>
      <w:r>
        <w:rPr>
          <w:rFonts w:ascii="Times New Roman" w:hAnsi="Times New Roman"/>
          <w:b w:val="false"/>
          <w:i w:val="false"/>
          <w:color w:val="000000"/>
          <w:sz w:val="22"/>
        </w:rPr>
        <w:t> </w:t>
      </w:r>
      <w:r>
        <w:rPr>
          <w:rFonts w:ascii="Times New Roman" w:hAnsi="Times New Roman"/>
          <w:b w:val="false"/>
          <w:i/>
          <w:color w:val="000000"/>
          <w:sz w:val="22"/>
        </w:rPr>
        <w:t xml:space="preserve">Audits. </w:t>
      </w:r>
      <w:r>
        <w:rPr>
          <w:rFonts w:ascii="Times New Roman" w:hAnsi="Times New Roman"/>
          <w:b w:val="false"/>
          <w:i w:val="false"/>
          <w:color w:val="000000"/>
          <w:sz w:val="22"/>
        </w:rPr>
        <w:t>Information concerning revenues and expenditures is released to staff of the state executive and legislative branch who are responsible for ensuring that public funds have been managed correctly. Information is also released to auditors from federal agencies that provide program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6.10(4)</w:t>
      </w:r>
      <w:r>
        <w:rPr>
          <w:rFonts w:ascii="Times New Roman" w:hAnsi="Times New Roman"/>
          <w:b w:val="false"/>
          <w:i w:val="false"/>
          <w:color w:val="000000"/>
          <w:sz w:val="22"/>
        </w:rPr>
        <w:t> </w:t>
      </w:r>
      <w:r>
        <w:rPr>
          <w:rFonts w:ascii="Times New Roman" w:hAnsi="Times New Roman"/>
          <w:b w:val="false"/>
          <w:i/>
          <w:color w:val="000000"/>
          <w:sz w:val="22"/>
        </w:rPr>
        <w:t xml:space="preserve">Accreditation and regulatory surveys. </w:t>
      </w:r>
      <w:r>
        <w:rPr>
          <w:rFonts w:ascii="Times New Roman" w:hAnsi="Times New Roman"/>
          <w:b w:val="false"/>
          <w:i w:val="false"/>
          <w:color w:val="000000"/>
          <w:sz w:val="22"/>
        </w:rPr>
        <w:t>Information is provided to staff of applicable accreditation, licensure and other applicable agencies in the course of surveys or investigations regarding compliance with regulations and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6.10(5)</w:t>
      </w:r>
      <w:r>
        <w:rPr>
          <w:rFonts w:ascii="Times New Roman" w:hAnsi="Times New Roman"/>
          <w:b w:val="false"/>
          <w:i w:val="false"/>
          <w:color w:val="000000"/>
          <w:sz w:val="22"/>
        </w:rPr>
        <w:t> </w:t>
      </w:r>
      <w:r>
        <w:rPr>
          <w:rFonts w:ascii="Times New Roman" w:hAnsi="Times New Roman"/>
          <w:b w:val="false"/>
          <w:i/>
          <w:color w:val="000000"/>
          <w:sz w:val="22"/>
        </w:rPr>
        <w:t xml:space="preserve">Release to court. </w:t>
      </w:r>
      <w:r>
        <w:rPr>
          <w:rFonts w:ascii="Times New Roman" w:hAnsi="Times New Roman"/>
          <w:b w:val="false"/>
          <w:i w:val="false"/>
          <w:color w:val="000000"/>
          <w:sz w:val="22"/>
        </w:rPr>
        <w:t>Information is released to the court as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6.10(6)</w:t>
      </w:r>
      <w:r>
        <w:rPr>
          <w:rFonts w:ascii="Times New Roman" w:hAnsi="Times New Roman"/>
          <w:b w:val="false"/>
          <w:i w:val="false"/>
          <w:color w:val="000000"/>
          <w:sz w:val="22"/>
        </w:rPr>
        <w:t> </w:t>
      </w:r>
      <w:r>
        <w:rPr>
          <w:rFonts w:ascii="Times New Roman" w:hAnsi="Times New Roman"/>
          <w:b w:val="false"/>
          <w:i/>
          <w:color w:val="000000"/>
          <w:sz w:val="22"/>
        </w:rPr>
        <w:t xml:space="preserve">Research. </w:t>
      </w:r>
      <w:r>
        <w:rPr>
          <w:rFonts w:ascii="Times New Roman" w:hAnsi="Times New Roman"/>
          <w:b w:val="false"/>
          <w:i w:val="false"/>
          <w:color w:val="000000"/>
          <w:sz w:val="22"/>
        </w:rPr>
        <w:t>Information that does not identify individual clients may be disclosed for research purposes with consent of the custodian responsible for the record. Requests to do research involving records of the Iowa Veterans Home shall be approved by the Iowa Veterans Home Research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6.10(7)</w:t>
      </w:r>
      <w:r>
        <w:rPr>
          <w:rFonts w:ascii="Times New Roman" w:hAnsi="Times New Roman"/>
          <w:b w:val="false"/>
          <w:i w:val="false"/>
          <w:color w:val="000000"/>
          <w:sz w:val="22"/>
        </w:rPr>
        <w:t> </w:t>
      </w:r>
      <w:r>
        <w:rPr>
          <w:rFonts w:ascii="Times New Roman" w:hAnsi="Times New Roman"/>
          <w:b w:val="false"/>
          <w:i/>
          <w:color w:val="000000"/>
          <w:sz w:val="22"/>
        </w:rPr>
        <w:t xml:space="preserve">Required by law. </w:t>
      </w:r>
      <w:r>
        <w:rPr>
          <w:rFonts w:ascii="Times New Roman" w:hAnsi="Times New Roman"/>
          <w:b w:val="false"/>
          <w:i w:val="false"/>
          <w:color w:val="000000"/>
          <w:sz w:val="22"/>
        </w:rPr>
        <w:t>Information is shared with other agencies without a contract or written agreement where state or federal law or regulations require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6.10(8)</w:t>
      </w:r>
      <w:r>
        <w:rPr>
          <w:rFonts w:ascii="Times New Roman" w:hAnsi="Times New Roman"/>
          <w:b w:val="false"/>
          <w:i w:val="false"/>
          <w:color w:val="000000"/>
          <w:sz w:val="22"/>
        </w:rPr>
        <w:t> </w:t>
      </w:r>
      <w:r>
        <w:rPr>
          <w:rFonts w:ascii="Times New Roman" w:hAnsi="Times New Roman"/>
          <w:b w:val="false"/>
          <w:i/>
          <w:color w:val="000000"/>
          <w:sz w:val="22"/>
        </w:rPr>
        <w:t xml:space="preserve">Imminent harm. </w:t>
      </w:r>
      <w:r>
        <w:rPr>
          <w:rFonts w:ascii="Times New Roman" w:hAnsi="Times New Roman"/>
          <w:b w:val="false"/>
          <w:i w:val="false"/>
          <w:color w:val="000000"/>
          <w:sz w:val="22"/>
        </w:rPr>
        <w:t>Information may be released to an individual or the police, or both, pursuant to a showing of compelling circumstances affecting the health or safety of a client or any other individual. Notice of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6.10(9)</w:t>
      </w:r>
      <w:r>
        <w:rPr>
          <w:rFonts w:ascii="Times New Roman" w:hAnsi="Times New Roman"/>
          <w:b w:val="false"/>
          <w:i w:val="false"/>
          <w:color w:val="000000"/>
          <w:sz w:val="22"/>
        </w:rPr>
        <w:t> </w:t>
      </w:r>
      <w:r>
        <w:rPr>
          <w:rFonts w:ascii="Times New Roman" w:hAnsi="Times New Roman"/>
          <w:b w:val="false"/>
          <w:i/>
          <w:color w:val="000000"/>
          <w:sz w:val="22"/>
        </w:rPr>
        <w:t xml:space="preserve">Law violation. </w:t>
      </w:r>
      <w:r>
        <w:rPr>
          <w:rFonts w:ascii="Times New Roman" w:hAnsi="Times New Roman"/>
          <w:b w:val="false"/>
          <w:i w:val="false"/>
          <w:color w:val="000000"/>
          <w:sz w:val="22"/>
        </w:rPr>
        <w:t>Disclosure of information indicating an apparent violation of the law will be released to appropriate enforcement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6.10(10)</w:t>
      </w:r>
      <w:r>
        <w:rPr>
          <w:rFonts w:ascii="Times New Roman" w:hAnsi="Times New Roman"/>
          <w:b w:val="false"/>
          <w:i w:val="false"/>
          <w:color w:val="000000"/>
          <w:sz w:val="22"/>
        </w:rPr>
        <w:t> </w:t>
      </w:r>
      <w:r>
        <w:rPr>
          <w:rFonts w:ascii="Times New Roman" w:hAnsi="Times New Roman"/>
          <w:b w:val="false"/>
          <w:i/>
          <w:color w:val="000000"/>
          <w:sz w:val="22"/>
        </w:rPr>
        <w:t xml:space="preserve">Specific authorization. </w:t>
      </w:r>
      <w:r>
        <w:rPr>
          <w:rFonts w:ascii="Times New Roman" w:hAnsi="Times New Roman"/>
          <w:b w:val="false"/>
          <w:i w:val="false"/>
          <w:color w:val="000000"/>
          <w:sz w:val="22"/>
        </w:rPr>
        <w:t>Any disclosure specifically authorized by the statute under which the record was collected or maintained will be made in accordance with the statute.</w:t>
      </w:r>
    </w:p>
    <w:p>
      <w:pPr>
        <w:spacing w:before="0" w:after="0"/>
        <w:ind w:left="120"/>
        <w:jc w:val="both"/>
      </w:pPr>
      <w:r>
        <w:rPr>
          <w:rFonts w:ascii="Times New Roman" w:hAnsi="Times New Roman"/>
          <w:b/>
          <w:i w:val="false"/>
          <w:color w:val="000000"/>
          <w:sz w:val="22"/>
        </w:rPr>
        <w:t>801—6.11</w:t>
      </w:r>
      <w:r>
        <w:rPr>
          <w:rFonts w:ascii="Times New Roman" w:hAnsi="Times New Roman"/>
          <w:b/>
          <w:i w:val="false"/>
          <w:color w:val="000000"/>
          <w:sz w:val="22"/>
        </w:rPr>
        <w:t xml:space="preserve">(17A,21,22)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time set for public opening of bids. (Iowa Code section </w:t>
      </w:r>
      <w:hyperlink r:id="rId13">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(Iowa Code section </w:t>
      </w:r>
      <w:hyperlink r:id="rId14">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which are exempt from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Minutes of closed meetings of a government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Identifying details in final orders, decisions, and opinions to the extent required to prevent a clearly unwarranted invasion of personal privacy or trade secrets.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Those portions of agency staff manuals, instructions, or other statements issued which set forth criteria or guidelines to be used by agency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Give a clearly improper advantage to persons who are in an adverse position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(Iowa Code section </w:t>
      </w:r>
      <w:hyperlink r:id="rId15">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Hospital records, medical records, and professional counselor records of the condition, diagnosis, care, or treatment of clients or former clients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Circulation records of the Iowa Veterans Home library.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agency may have discretion to disclose some confidential records which are exempt from disclosure under Iowa Code section </w:t>
      </w:r>
      <w:hyperlink r:id="rId1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records withheld from inspection under a statute which authorizes limited or discretionary disclosure as provided in rule </w:t>
      </w:r>
      <w:hyperlink r:id="rId17">
        <w:r>
          <w:rPr>
            <w:rStyle w:val="Hyperlink"/>
            <w:rFonts w:ascii="Times New Roman" w:hAnsi="Times New Roman"/>
            <w:b w:val="false"/>
            <w:i w:val="false"/>
            <w:color w:val="000000"/>
            <w:sz w:val="22"/>
          </w:rPr>
          <w:t>801—6.4</w:t>
        </w:r>
      </w:hyperlink>
      <w:r>
        <w:rPr>
          <w:rFonts w:ascii="Times New Roman" w:hAnsi="Times New Roman"/>
          <w:b w:val="false"/>
          <w:i w:val="false"/>
          <w:color w:val="000000"/>
          <w:sz w:val="22"/>
        </w:rPr>
        <w:t xml:space="preserve">(17A,22). If the agency initially determines that it will release such records, the agency may, where appropriate, notify interested parties and withhold the record from inspection as provided in subrule </w:t>
      </w:r>
      <w:hyperlink r:id="rId18">
        <w:r>
          <w:rPr>
            <w:rStyle w:val="Hyperlink"/>
            <w:rFonts w:ascii="Times New Roman" w:hAnsi="Times New Roman"/>
            <w:b w:val="false"/>
            <w:i w:val="false"/>
            <w:color w:val="000000"/>
            <w:sz w:val="22"/>
          </w:rPr>
          <w:t>6.4(3)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801—6.12</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22">
        <w:r>
          <w:rPr>
            <w:rStyle w:val="Hyperlink"/>
            <w:rFonts w:ascii="Times New Roman" w:hAnsi="Times New Roman"/>
            <w:b w:val="false"/>
            <w:i w:val="false"/>
            <w:color w:val="000000"/>
            <w:sz w:val="22"/>
          </w:rPr>
          <w:t>801—6.1</w:t>
        </w:r>
      </w:hyperlink>
      <w:r>
        <w:rPr>
          <w:rFonts w:ascii="Times New Roman" w:hAnsi="Times New Roman"/>
          <w:b w:val="false"/>
          <w:i w:val="false"/>
          <w:color w:val="000000"/>
          <w:sz w:val="22"/>
        </w:rPr>
        <w:t>(17A,22). 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6.12(1)</w:t>
      </w:r>
      <w:r>
        <w:rPr>
          <w:rFonts w:ascii="Times New Roman" w:hAnsi="Times New Roman"/>
          <w:b w:val="false"/>
          <w:i w:val="false"/>
          <w:color w:val="000000"/>
          <w:sz w:val="22"/>
        </w:rPr>
        <w:t> </w:t>
      </w:r>
      <w:r>
        <w:rPr>
          <w:rFonts w:ascii="Times New Roman" w:hAnsi="Times New Roman"/>
          <w:b w:val="false"/>
          <w:i/>
          <w:color w:val="000000"/>
          <w:sz w:val="22"/>
        </w:rPr>
        <w:t xml:space="preserve">Prisoner of war registry. </w:t>
      </w:r>
      <w:r>
        <w:rPr>
          <w:rFonts w:ascii="Times New Roman" w:hAnsi="Times New Roman"/>
          <w:b w:val="false"/>
          <w:i w:val="false"/>
          <w:color w:val="000000"/>
          <w:sz w:val="22"/>
        </w:rPr>
        <w:t xml:space="preserve">These records are collected under the authority of Iowa Code section </w:t>
      </w:r>
      <w:hyperlink r:id="rId23">
        <w:r>
          <w:rPr>
            <w:rStyle w:val="Hyperlink"/>
            <w:rFonts w:ascii="Times New Roman" w:hAnsi="Times New Roman"/>
            <w:b w:val="false"/>
            <w:i w:val="false"/>
            <w:color w:val="000000"/>
            <w:sz w:val="22"/>
          </w:rPr>
          <w:t>35A.2(1)</w:t>
        </w:r>
      </w:hyperlink>
      <w:r>
        <w:rPr>
          <w:rFonts w:ascii="Times New Roman" w:hAnsi="Times New Roman"/>
          <w:b w:val="false"/>
          <w:i w:val="false"/>
          <w:color w:val="000000"/>
          <w:sz w:val="22"/>
        </w:rPr>
        <w:t>. They are maintained in hard copy by the agency. Requests for these records should be referred to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6.12(2)</w:t>
      </w:r>
      <w:r>
        <w:rPr>
          <w:rFonts w:ascii="Times New Roman" w:hAnsi="Times New Roman"/>
          <w:b w:val="false"/>
          <w:i w:val="false"/>
          <w:color w:val="000000"/>
          <w:sz w:val="22"/>
        </w:rPr>
        <w:t> </w:t>
      </w:r>
      <w:r>
        <w:rPr>
          <w:rFonts w:ascii="Times New Roman" w:hAnsi="Times New Roman"/>
          <w:b w:val="false"/>
          <w:i/>
          <w:color w:val="000000"/>
          <w:sz w:val="22"/>
        </w:rPr>
        <w:t xml:space="preserve">Military graves registration. </w:t>
      </w:r>
      <w:r>
        <w:rPr>
          <w:rFonts w:ascii="Times New Roman" w:hAnsi="Times New Roman"/>
          <w:b w:val="false"/>
          <w:i w:val="false"/>
          <w:color w:val="000000"/>
          <w:sz w:val="22"/>
        </w:rPr>
        <w:t xml:space="preserve">These records are collected under the authority of Iowa Code section </w:t>
      </w:r>
      <w:hyperlink r:id="rId24">
        <w:r>
          <w:rPr>
            <w:rStyle w:val="Hyperlink"/>
            <w:rFonts w:ascii="Times New Roman" w:hAnsi="Times New Roman"/>
            <w:b w:val="false"/>
            <w:i w:val="false"/>
            <w:color w:val="000000"/>
            <w:sz w:val="22"/>
          </w:rPr>
          <w:t>35A.3(11)</w:t>
        </w:r>
      </w:hyperlink>
      <w:r>
        <w:rPr>
          <w:rFonts w:ascii="Times New Roman" w:hAnsi="Times New Roman"/>
          <w:b w:val="false"/>
          <w:i w:val="false"/>
          <w:color w:val="000000"/>
          <w:sz w:val="22"/>
        </w:rPr>
        <w:t>. They are maintained in hard copy by the agency, on Iowa Form 582-1002, CPE-94252. Requests for these records should be referred to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6.12(3)</w:t>
      </w:r>
      <w:r>
        <w:rPr>
          <w:rFonts w:ascii="Times New Roman" w:hAnsi="Times New Roman"/>
          <w:b w:val="false"/>
          <w:i w:val="false"/>
          <w:color w:val="000000"/>
          <w:sz w:val="22"/>
        </w:rPr>
        <w:t> </w:t>
      </w:r>
      <w:r>
        <w:rPr>
          <w:rFonts w:ascii="Times New Roman" w:hAnsi="Times New Roman"/>
          <w:b w:val="false"/>
          <w:i/>
          <w:color w:val="000000"/>
          <w:sz w:val="22"/>
        </w:rPr>
        <w:t xml:space="preserve">World War I, World War II, Korea, Vietnam veterans bonus. </w:t>
      </w:r>
      <w:r>
        <w:rPr>
          <w:rFonts w:ascii="Times New Roman" w:hAnsi="Times New Roman"/>
          <w:b w:val="false"/>
          <w:i w:val="false"/>
          <w:color w:val="000000"/>
          <w:sz w:val="22"/>
        </w:rPr>
        <w:t xml:space="preserve">These records are collected under the authority of Iowa Code section </w:t>
      </w:r>
      <w:hyperlink r:id="rId25">
        <w:r>
          <w:rPr>
            <w:rStyle w:val="Hyperlink"/>
            <w:rFonts w:ascii="Times New Roman" w:hAnsi="Times New Roman"/>
            <w:b w:val="false"/>
            <w:i w:val="false"/>
            <w:color w:val="000000"/>
            <w:sz w:val="22"/>
          </w:rPr>
          <w:t>35A.3(5)</w:t>
        </w:r>
      </w:hyperlink>
      <w:r>
        <w:rPr>
          <w:rFonts w:ascii="Times New Roman" w:hAnsi="Times New Roman"/>
          <w:b w:val="false"/>
          <w:i w:val="false"/>
          <w:color w:val="000000"/>
          <w:sz w:val="22"/>
        </w:rPr>
        <w:t>. They are maintained in hard copy by the agency. Requests for these records should be referred to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6.12(4)</w:t>
      </w:r>
      <w:r>
        <w:rPr>
          <w:rFonts w:ascii="Times New Roman" w:hAnsi="Times New Roman"/>
          <w:b w:val="false"/>
          <w:i w:val="false"/>
          <w:color w:val="000000"/>
          <w:sz w:val="22"/>
        </w:rPr>
        <w:t> </w:t>
      </w:r>
      <w:r>
        <w:rPr>
          <w:rFonts w:ascii="Times New Roman" w:hAnsi="Times New Roman"/>
          <w:b w:val="false"/>
          <w:i/>
          <w:color w:val="000000"/>
          <w:sz w:val="22"/>
        </w:rPr>
        <w:t xml:space="preserve">Iowa women veterans. </w:t>
      </w:r>
      <w:r>
        <w:rPr>
          <w:rFonts w:ascii="Times New Roman" w:hAnsi="Times New Roman"/>
          <w:b w:val="false"/>
          <w:i w:val="false"/>
          <w:color w:val="000000"/>
          <w:sz w:val="22"/>
        </w:rPr>
        <w:t xml:space="preserve">These listings of all women veterans residing in Iowa are collected under the authority of Iowa Code section </w:t>
      </w:r>
      <w:hyperlink r:id="rId26">
        <w:r>
          <w:rPr>
            <w:rStyle w:val="Hyperlink"/>
            <w:rFonts w:ascii="Times New Roman" w:hAnsi="Times New Roman"/>
            <w:b w:val="false"/>
            <w:i w:val="false"/>
            <w:color w:val="000000"/>
            <w:sz w:val="22"/>
          </w:rPr>
          <w:t>35A.3(5)</w:t>
        </w:r>
      </w:hyperlink>
      <w:r>
        <w:rPr>
          <w:rFonts w:ascii="Times New Roman" w:hAnsi="Times New Roman"/>
          <w:b w:val="false"/>
          <w:i w:val="false"/>
          <w:color w:val="000000"/>
          <w:sz w:val="22"/>
        </w:rPr>
        <w:t>. The records are maintained in hard copy format. Requests for these records should be referred to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6.12(5)</w:t>
      </w:r>
      <w:r>
        <w:rPr>
          <w:rFonts w:ascii="Times New Roman" w:hAnsi="Times New Roman"/>
          <w:b w:val="false"/>
          <w:i w:val="false"/>
          <w:color w:val="000000"/>
          <w:sz w:val="22"/>
        </w:rPr>
        <w:t> </w:t>
      </w:r>
      <w:r>
        <w:rPr>
          <w:rFonts w:ascii="Times New Roman" w:hAnsi="Times New Roman"/>
          <w:b w:val="false"/>
          <w:i/>
          <w:color w:val="000000"/>
          <w:sz w:val="22"/>
        </w:rPr>
        <w:t xml:space="preserve">Members, directors—county commission of veterans affairs. </w:t>
      </w:r>
      <w:r>
        <w:rPr>
          <w:rFonts w:ascii="Times New Roman" w:hAnsi="Times New Roman"/>
          <w:b w:val="false"/>
          <w:i w:val="false"/>
          <w:color w:val="000000"/>
          <w:sz w:val="22"/>
        </w:rPr>
        <w:t xml:space="preserve">These listings of current mailing addresses of all Iowa county commission members and directors are collected under the authority of Iowa Code section </w:t>
      </w:r>
      <w:hyperlink r:id="rId27">
        <w:r>
          <w:rPr>
            <w:rStyle w:val="Hyperlink"/>
            <w:rFonts w:ascii="Times New Roman" w:hAnsi="Times New Roman"/>
            <w:b w:val="false"/>
            <w:i w:val="false"/>
            <w:color w:val="000000"/>
            <w:sz w:val="22"/>
          </w:rPr>
          <w:t>35A.3(8)</w:t>
        </w:r>
      </w:hyperlink>
      <w:r>
        <w:rPr>
          <w:rFonts w:ascii="Times New Roman" w:hAnsi="Times New Roman"/>
          <w:b w:val="false"/>
          <w:i w:val="false"/>
          <w:color w:val="000000"/>
          <w:sz w:val="22"/>
        </w:rPr>
        <w:t>. The records are maintained in hard copy format. Requests for these records should be referred to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6.12(6)</w:t>
      </w:r>
      <w:r>
        <w:rPr>
          <w:rFonts w:ascii="Times New Roman" w:hAnsi="Times New Roman"/>
          <w:b w:val="false"/>
          <w:i w:val="false"/>
          <w:color w:val="000000"/>
          <w:sz w:val="22"/>
        </w:rPr>
        <w:t> </w:t>
      </w:r>
      <w:r>
        <w:rPr>
          <w:rFonts w:ascii="Times New Roman" w:hAnsi="Times New Roman"/>
          <w:b w:val="false"/>
          <w:i/>
          <w:color w:val="000000"/>
          <w:sz w:val="22"/>
        </w:rPr>
        <w:t xml:space="preserve">Iowa war orphans Act bonus applications. </w:t>
      </w:r>
      <w:r>
        <w:rPr>
          <w:rFonts w:ascii="Times New Roman" w:hAnsi="Times New Roman"/>
          <w:b w:val="false"/>
          <w:i w:val="false"/>
          <w:color w:val="000000"/>
          <w:sz w:val="22"/>
        </w:rPr>
        <w:t xml:space="preserve">These listings are award applications and bonus payments from the War Orphans Educational Fund and are collected in accordance with Iowa Code section </w:t>
      </w:r>
      <w:hyperlink r:id="rId28">
        <w:r>
          <w:rPr>
            <w:rStyle w:val="Hyperlink"/>
            <w:rFonts w:ascii="Times New Roman" w:hAnsi="Times New Roman"/>
            <w:b w:val="false"/>
            <w:i w:val="false"/>
            <w:color w:val="000000"/>
            <w:sz w:val="22"/>
          </w:rPr>
          <w:t>35A.2(3)</w:t>
        </w:r>
      </w:hyperlink>
      <w:r>
        <w:rPr>
          <w:rFonts w:ascii="Times New Roman" w:hAnsi="Times New Roman"/>
          <w:b w:val="false"/>
          <w:i w:val="false"/>
          <w:color w:val="000000"/>
          <w:sz w:val="22"/>
        </w:rPr>
        <w:t xml:space="preserve"> and maintained in hard copy format. Requests for these records should be referred to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6.12(7)</w:t>
      </w:r>
      <w:r>
        <w:rPr>
          <w:rFonts w:ascii="Times New Roman" w:hAnsi="Times New Roman"/>
          <w:b w:val="false"/>
          <w:i w:val="false"/>
          <w:color w:val="000000"/>
          <w:sz w:val="22"/>
        </w:rPr>
        <w:t> </w:t>
      </w:r>
      <w:r>
        <w:rPr>
          <w:rFonts w:ascii="Times New Roman" w:hAnsi="Times New Roman"/>
          <w:b w:val="false"/>
          <w:i/>
          <w:color w:val="000000"/>
          <w:sz w:val="22"/>
        </w:rPr>
        <w:t xml:space="preserve">Iowa Korean War Memorial Fund. </w:t>
      </w:r>
      <w:r>
        <w:rPr>
          <w:rFonts w:ascii="Times New Roman" w:hAnsi="Times New Roman"/>
          <w:b w:val="false"/>
          <w:i w:val="false"/>
          <w:color w:val="000000"/>
          <w:sz w:val="22"/>
        </w:rPr>
        <w:t>This listing consolidates contributions of all funds received for the Iowa Korean War Memorial authorized by the governor’s directive of August 1986. These records are maintained in hard copy format. Requests for these records should be referred to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6.12(8)</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6.12(9)</w:t>
      </w:r>
      <w:r>
        <w:rPr>
          <w:rFonts w:ascii="Times New Roman" w:hAnsi="Times New Roman"/>
          <w:b w:val="false"/>
          <w:i w:val="false"/>
          <w:color w:val="000000"/>
          <w:sz w:val="22"/>
        </w:rPr>
        <w:t> </w:t>
      </w:r>
      <w:r>
        <w:rPr>
          <w:rFonts w:ascii="Times New Roman" w:hAnsi="Times New Roman"/>
          <w:b w:val="false"/>
          <w:i/>
          <w:color w:val="000000"/>
          <w:sz w:val="22"/>
        </w:rPr>
        <w:t xml:space="preserve">DD Form 214, Notification of Separation from Service. </w:t>
      </w:r>
      <w:r>
        <w:rPr>
          <w:rFonts w:ascii="Times New Roman" w:hAnsi="Times New Roman"/>
          <w:b w:val="false"/>
          <w:i w:val="false"/>
          <w:color w:val="000000"/>
          <w:sz w:val="22"/>
        </w:rPr>
        <w:t>This listing provides information to the state on individuals separating from active military service in the armed forces. It is used routinely to establish entitlement by the veteran to county, state and federal benefits such as hospitalization and educational assistance. Request for verification of service should be addressed to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6.12(10)</w:t>
      </w:r>
      <w:r>
        <w:rPr>
          <w:rFonts w:ascii="Times New Roman" w:hAnsi="Times New Roman"/>
          <w:b w:val="false"/>
          <w:i w:val="false"/>
          <w:color w:val="000000"/>
          <w:sz w:val="22"/>
        </w:rPr>
        <w:t> </w:t>
      </w:r>
      <w:r>
        <w:rPr>
          <w:rFonts w:ascii="Times New Roman" w:hAnsi="Times New Roman"/>
          <w:b w:val="false"/>
          <w:i/>
          <w:color w:val="000000"/>
          <w:sz w:val="22"/>
        </w:rPr>
        <w:t xml:space="preserve">Iowa Veterans Home client case records. </w:t>
      </w:r>
      <w:r>
        <w:rPr>
          <w:rFonts w:ascii="Times New Roman" w:hAnsi="Times New Roman"/>
          <w:b w:val="false"/>
          <w:i w:val="false"/>
          <w:color w:val="000000"/>
          <w:sz w:val="22"/>
        </w:rPr>
        <w:t xml:space="preserve">Iowa Veterans Home client records contain identifying information, demographic information, financial information, clinical assessment and care information and related documentation. Some of this information is maintained on microfilm. Automated data processing associated with Iowa Veterans Home client records include admission and discharge systems, billing systems, client banking system, and selected client data systems. Requests for these records should be referred to the commandant. Legal authority for collection of this information and applicable determinations regarding confidentiality are found in Iowa Code section </w:t>
      </w:r>
      <w:hyperlink r:id="rId2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chapters </w:t>
      </w:r>
      <w:hyperlink r:id="rId30">
        <w:r>
          <w:rPr>
            <w:rStyle w:val="Hyperlink"/>
            <w:rFonts w:ascii="Times New Roman" w:hAnsi="Times New Roman"/>
            <w:b w:val="false"/>
            <w:i w:val="false"/>
            <w:color w:val="000000"/>
            <w:sz w:val="22"/>
          </w:rPr>
          <w:t>35D</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222</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Requests for information from these records should be referred to the commandant.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6.12(11)</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sections </w:t>
      </w:r>
      <w:hyperlink r:id="rId34">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801—6.13</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defined in rule </w:t>
      </w:r>
      <w:hyperlink r:id="rId36">
        <w:r>
          <w:rPr>
            <w:rStyle w:val="Hyperlink"/>
            <w:rFonts w:ascii="Times New Roman" w:hAnsi="Times New Roman"/>
            <w:b w:val="false"/>
            <w:i w:val="false"/>
            <w:color w:val="000000"/>
            <w:sz w:val="22"/>
          </w:rPr>
          <w:t>801—6.1</w:t>
        </w:r>
      </w:hyperlink>
      <w:r>
        <w:rPr>
          <w:rFonts w:ascii="Times New Roman" w:hAnsi="Times New Roman"/>
          <w:b w:val="false"/>
          <w:i w:val="false"/>
          <w:color w:val="000000"/>
          <w:sz w:val="22"/>
        </w:rPr>
        <w:t xml:space="preserve">(17A,22). These records are routinely available to the public. However, the agency’s files of these records may contain confidential information, as discussed in rule </w:t>
      </w:r>
      <w:hyperlink r:id="rId37">
        <w:r>
          <w:rPr>
            <w:rStyle w:val="Hyperlink"/>
            <w:rFonts w:ascii="Times New Roman" w:hAnsi="Times New Roman"/>
            <w:b w:val="false"/>
            <w:i w:val="false"/>
            <w:color w:val="000000"/>
            <w:sz w:val="22"/>
          </w:rPr>
          <w:t>801—6.7</w:t>
        </w:r>
      </w:hyperlink>
      <w:r>
        <w:rPr>
          <w:rFonts w:ascii="Times New Roman" w:hAnsi="Times New Roman"/>
          <w:b w:val="false"/>
          <w:i w:val="false"/>
          <w:color w:val="000000"/>
          <w:sz w:val="22"/>
        </w:rPr>
        <w:t>(17A,22). In addition, the records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val="false"/>
          <w:color w:val="000000"/>
          <w:sz w:val="22"/>
        </w:rPr>
        <w:t xml:space="preserve">Rule making. Rule-making records may contain information about individuals making written or oral comments or proposed rules. This information is collected pursuant to Iowa Code section </w:t>
      </w:r>
      <w:hyperlink r:id="rId38">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commission of veterans affairs meeting records. Agendas, minutes, and materials deliberated by the commission are available from the executive director. Commission records contain information about people who participate in meetings. This information is collected pursuant to Iowa Code section </w:t>
      </w:r>
      <w:hyperlink r:id="rId39">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retrieved by personal identifier nor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6.13(3)</w:t>
      </w:r>
      <w:r>
        <w:rPr>
          <w:rFonts w:ascii="Times New Roman" w:hAnsi="Times New Roman"/>
          <w:b w:val="false"/>
          <w:i w:val="false"/>
          <w:color w:val="000000"/>
          <w:sz w:val="22"/>
        </w:rPr>
        <w:t> </w:t>
      </w:r>
      <w:r>
        <w:rPr>
          <w:rFonts w:ascii="Times New Roman" w:hAnsi="Times New Roman"/>
          <w:b w:val="false"/>
          <w:i w:val="false"/>
          <w:color w:val="000000"/>
          <w:sz w:val="22"/>
        </w:rPr>
        <w:t>Publications. News releases, literature, and reports regarding the Iowa commission of veterans affairs, newsletters from various veterans associations or from the federal government are available from the executive director. News releases, literature, reports regarding the Iowa Veterans Home are available from the commandant. Agency news releases, project reports, and newsletters may contain information about individuals, including agency staff or members of agency committees. This information is not retrieved by individual identifier and is not currently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6.13(4)</w:t>
      </w:r>
      <w:r>
        <w:rPr>
          <w:rFonts w:ascii="Times New Roman" w:hAnsi="Times New Roman"/>
          <w:b w:val="false"/>
          <w:i w:val="false"/>
          <w:color w:val="000000"/>
          <w:sz w:val="22"/>
        </w:rPr>
        <w:t> </w:t>
      </w:r>
      <w:r>
        <w:rPr>
          <w:rFonts w:ascii="Times New Roman" w:hAnsi="Times New Roman"/>
          <w:b w:val="false"/>
          <w:i w:val="false"/>
          <w:color w:val="000000"/>
          <w:sz w:val="22"/>
        </w:rPr>
        <w:t>All other records that are not exempted from disclosure by law.</w:t>
      </w:r>
    </w:p>
    <w:p>
      <w:pPr>
        <w:spacing w:before="210" w:after="0"/>
        <w:ind w:left="120"/>
        <w:jc w:val="both"/>
      </w:pPr>
      <w:r>
        <w:rPr>
          <w:rFonts w:ascii="Times New Roman" w:hAnsi="Times New Roman"/>
          <w:b/>
          <w:i w:val="false"/>
          <w:color w:val="000000"/>
          <w:sz w:val="22"/>
        </w:rPr>
        <w:t>801—6.14</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system. </w:t>
      </w:r>
      <w:r>
        <w:rPr>
          <w:rFonts w:ascii="Times New Roman" w:hAnsi="Times New Roman"/>
          <w:b w:val="false"/>
          <w:i w:val="false"/>
          <w:color w:val="000000"/>
          <w:sz w:val="22"/>
        </w:rPr>
        <w:t>Data processing systems used by this agency do not permit the comparison of personally identifiable information in one record system with personally identifiable information in another system.</w:t>
      </w:r>
    </w:p>
    <w:p>
      <w:pPr>
        <w:spacing w:before="0" w:after="0"/>
        <w:ind w:left="120"/>
        <w:jc w:val="both"/>
      </w:pPr>
      <w:r>
        <w:rPr>
          <w:rFonts w:ascii="Times New Roman" w:hAnsi="Times New Roman"/>
          <w:b/>
          <w:i w:val="false"/>
          <w:color w:val="000000"/>
          <w:sz w:val="22"/>
        </w:rPr>
        <w:t>801—6.15</w:t>
      </w:r>
      <w:r>
        <w:rPr>
          <w:rFonts w:ascii="Times New Roman" w:hAnsi="Times New Roman"/>
          <w:b/>
          <w:i w:val="false"/>
          <w:color w:val="000000"/>
          <w:sz w:val="22"/>
        </w:rPr>
        <w:t xml:space="preserve">(17A,22)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 the agency to index or retrieve records which contain information about the individuals by that person’s name or other personal identifier.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4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Govern the maintenance or disclosure of, notification of or access to, records in possession of the agency which are governed by regulations of another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Make available records compiled by the agency in reasonable anticipation of court litigation or formal administrative proceedings. The availability of such records to the general public or to any subject individual or party to such litigation or proceedings shall be governed by applicable legal and constitutional principles, statutes, rules of discovery, evidentiary privileges and applicable regulations of the agency.</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4/29/88, Notice 3/23/88—published 5/18/88, effective 6/22/88]</w:t>
      </w:r>
    </w:p>
    <w:p>
      <w:pPr>
        <w:spacing w:before="0" w:after="0"/>
        <w:ind w:left="120"/>
        <w:jc w:val="center"/>
      </w:pPr>
      <w:r>
        <w:rPr>
          <w:rFonts w:ascii="Times New Roman" w:hAnsi="Times New Roman"/>
          <w:b w:val="false"/>
          <w:i w:val="false"/>
          <w:color w:val="000000"/>
          <w:sz w:val="21"/>
        </w:rPr>
        <w:t>[Filed emergency 8/5/91—published 8/21/91, effective 8/21/91]</w:t>
      </w:r>
    </w:p>
    <w:p>
      <w:pPr>
        <w:spacing w:before="0" w:after="0"/>
        <w:ind w:left="120"/>
        <w:jc w:val="center"/>
      </w:pPr>
      <w:r>
        <w:rPr>
          <w:rFonts w:ascii="Times New Roman" w:hAnsi="Times New Roman"/>
          <w:b w:val="false"/>
          <w:i w:val="false"/>
          <w:color w:val="000000"/>
          <w:sz w:val="21"/>
        </w:rPr>
        <w:t>[Filed emergency 12/18/92—published 1/6/93, effective 1/1/93]</w:t>
      </w:r>
    </w:p>
    <w:p>
      <w:pPr>
        <w:spacing w:before="0" w:after="0"/>
        <w:ind w:left="120"/>
        <w:jc w:val="center"/>
      </w:pPr>
      <w:r>
        <w:rPr>
          <w:rFonts w:ascii="Times New Roman" w:hAnsi="Times New Roman"/>
          <w:b w:val="false"/>
          <w:i w:val="false"/>
          <w:color w:val="000000"/>
          <w:sz w:val="21"/>
        </w:rPr>
        <w:t>[Filed 12/19/96, Notice 10/23/96—published 1/15/97, effective 2/19/97]</w:t>
      </w:r>
    </w:p>
    <w:p>
      <w:pPr>
        <w:spacing w:before="0" w:after="0"/>
        <w:ind w:left="120"/>
        <w:jc w:val="center"/>
      </w:pPr>
      <w:r>
        <w:rPr>
          <w:rFonts w:ascii="Times New Roman" w:hAnsi="Times New Roman"/>
          <w:b w:val="false"/>
          <w:i w:val="false"/>
          <w:color w:val="000000"/>
          <w:sz w:val="21"/>
        </w:rPr>
        <w:t>[Filed ARC 3341C</w:t>
      </w:r>
      <w:r>
        <w:rPr>
          <w:rFonts w:ascii="Times New Roman" w:hAnsi="Times New Roman"/>
          <w:b w:val="false"/>
          <w:i w:val="false"/>
          <w:color w:val="000000"/>
          <w:sz w:val="21"/>
        </w:rPr>
        <w:t xml:space="preserve"> (Notice ARC 3147C, IAB 7/5/17)</w:t>
      </w:r>
      <w:r>
        <w:rPr>
          <w:rFonts w:ascii="Times New Roman" w:hAnsi="Times New Roman"/>
          <w:b w:val="false"/>
          <w:i w:val="false"/>
          <w:color w:val="000000"/>
          <w:sz w:val="21"/>
        </w:rPr>
        <w:t>, IAB 9/27/17, effective 11/1/17]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pdf" Type="http://schemas.openxmlformats.org/officeDocument/2006/relationships/hyperlink" Id="rId5"/>
    <Relationship TargetMode="External" Target="https://www.legis.iowa.gov/docs/ico/chapter/228.1.pdf" Type="http://schemas.openxmlformats.org/officeDocument/2006/relationships/hyperlink" Id="rId6"/>
    <Relationship TargetMode="External" Target="https://www.legis.iowa.gov/docs/ico/chapter/22.4.pdf" Type="http://schemas.openxmlformats.org/officeDocument/2006/relationships/hyperlink" Id="rId7"/>
    <Relationship TargetMode="External" Target="https://www.legis.iowa.gov/docs/iac/rule/801.6.10.pdf" Type="http://schemas.openxmlformats.org/officeDocument/2006/relationships/hyperlink" Id="rId8"/>
    <Relationship TargetMode="External" Target="https://www.legis.iowa.gov/docs/iac/rule/801.6.7.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ac/rule/801.6.7.pdf" Type="http://schemas.openxmlformats.org/officeDocument/2006/relationships/hyperlink" Id="rId12"/>
    <Relationship TargetMode="External" Target="https://www.legis.iowa.gov/docs/ico/chapter/72.3.pdf" Type="http://schemas.openxmlformats.org/officeDocument/2006/relationships/hyperlink" Id="rId13"/>
    <Relationship TargetMode="External" Target="https://www.legis.iowa.gov/docs/ico/chapter/422.20.pdf" Type="http://schemas.openxmlformats.org/officeDocument/2006/relationships/hyperlink" Id="rId14"/>
    <Relationship TargetMode="External" Target="https://www.legis.iowa.gov/docs/ico/chapter/622.10.pdf" Type="http://schemas.openxmlformats.org/officeDocument/2006/relationships/hyperlink" Id="rId15"/>
    <Relationship TargetMode="External" Target="https://www.legis.iowa.gov/docs/ico/chapter/22.7.pdf" Type="http://schemas.openxmlformats.org/officeDocument/2006/relationships/hyperlink" Id="rId16"/>
    <Relationship TargetMode="External" Target="https://www.legis.iowa.gov/docs/iac/rule/801.6.4.pdf" Type="http://schemas.openxmlformats.org/officeDocument/2006/relationships/hyperlink" Id="rId17"/>
    <Relationship TargetMode="External" Target="https://www.legis.iowa.gov/docs/iac/rule/801.6.4.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co/chapter/21.pdf" Type="http://schemas.openxmlformats.org/officeDocument/2006/relationships/hyperlink" Id="rId20"/>
    <Relationship TargetMode="External" Target="https://www.legis.iowa.gov/docs/ico/chapter/22.pdf" Type="http://schemas.openxmlformats.org/officeDocument/2006/relationships/hyperlink" Id="rId21"/>
    <Relationship TargetMode="External" Target="https://www.legis.iowa.gov/docs/iac/rule/801.6.1.pdf" Type="http://schemas.openxmlformats.org/officeDocument/2006/relationships/hyperlink" Id="rId22"/>
    <Relationship TargetMode="External" Target="https://www.legis.iowa.gov/docs/ico/chapter/35A.2.pdf" Type="http://schemas.openxmlformats.org/officeDocument/2006/relationships/hyperlink" Id="rId23"/>
    <Relationship TargetMode="External" Target="https://www.legis.iowa.gov/docs/ico/chapter/35A.3.pdf" Type="http://schemas.openxmlformats.org/officeDocument/2006/relationships/hyperlink" Id="rId24"/>
    <Relationship TargetMode="External" Target="https://www.legis.iowa.gov/docs/ico/chapter/35A.3.pdf" Type="http://schemas.openxmlformats.org/officeDocument/2006/relationships/hyperlink" Id="rId25"/>
    <Relationship TargetMode="External" Target="https://www.legis.iowa.gov/docs/ico/chapter/35A.3.pdf" Type="http://schemas.openxmlformats.org/officeDocument/2006/relationships/hyperlink" Id="rId26"/>
    <Relationship TargetMode="External" Target="https://www.legis.iowa.gov/docs/ico/chapter/35A.3.pdf" Type="http://schemas.openxmlformats.org/officeDocument/2006/relationships/hyperlink" Id="rId27"/>
    <Relationship TargetMode="External" Target="https://www.legis.iowa.gov/docs/ico/chapter/35A.2.pdf" Type="http://schemas.openxmlformats.org/officeDocument/2006/relationships/hyperlink" Id="rId28"/>
    <Relationship TargetMode="External" Target="https://www.legis.iowa.gov/docs/ico/chapter/22.7.pdf" Type="http://schemas.openxmlformats.org/officeDocument/2006/relationships/hyperlink" Id="rId29"/>
    <Relationship TargetMode="External" Target="https://www.legis.iowa.gov/docs/ico/chapter/35D.pdf" Type="http://schemas.openxmlformats.org/officeDocument/2006/relationships/hyperlink" Id="rId30"/>
    <Relationship TargetMode="External" Target="https://www.legis.iowa.gov/docs/ico/chapter/222.pdf" Type="http://schemas.openxmlformats.org/officeDocument/2006/relationships/hyperlink" Id="rId31"/>
    <Relationship TargetMode="External" Target="https://www.legis.iowa.gov/docs/ico/chapter/228.pdf" Type="http://schemas.openxmlformats.org/officeDocument/2006/relationships/hyperlink" Id="rId32"/>
    <Relationship TargetMode="External" Target="https://www.legis.iowa.gov/docs/ico/chapter/229.pdf" Type="http://schemas.openxmlformats.org/officeDocument/2006/relationships/hyperlink" Id="rId33"/>
    <Relationship TargetMode="External" Target="https://www.legis.iowa.gov/docs/ico/chapter/22.7.pdf" Type="http://schemas.openxmlformats.org/officeDocument/2006/relationships/hyperlink" Id="rId34"/>
    <Relationship TargetMode="External" Target="https://www.legis.iowa.gov/docs/ico/chapter/22.7.pdf" Type="http://schemas.openxmlformats.org/officeDocument/2006/relationships/hyperlink" Id="rId35"/>
    <Relationship TargetMode="External" Target="https://www.legis.iowa.gov/docs/iac/rule/801.6.1.pdf" Type="http://schemas.openxmlformats.org/officeDocument/2006/relationships/hyperlink" Id="rId36"/>
    <Relationship TargetMode="External" Target="https://www.legis.iowa.gov/docs/iac/rule/801.6.7.pdf" Type="http://schemas.openxmlformats.org/officeDocument/2006/relationships/hyperlink" Id="rId37"/>
    <Relationship TargetMode="External" Target="https://www.legis.iowa.gov/docs/ico/chapter/17A.4.pdf" Type="http://schemas.openxmlformats.org/officeDocument/2006/relationships/hyperlink" Id="rId38"/>
    <Relationship TargetMode="External" Target="https://www.legis.iowa.gov/docs/ico/chapter/21.3.pdf" Type="http://schemas.openxmlformats.org/officeDocument/2006/relationships/hyperlink" Id="rId39"/>
    <Relationship TargetMode="External" Target="https://www.legis.iowa.gov/docs/ico/chapter/22.pdf" Type="http://schemas.openxmlformats.org/officeDocument/2006/relationships/hyperlink" Id="rId40"/>
    <Relationship TargetMode="External" Target="https://www.legis.iowa.gov/docs/ico/chapter/22.pdf" Type="http://schemas.openxmlformats.org/officeDocument/2006/relationships/hyperlink"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