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IOWA EDUCATIONAL SAVINGS PLAN TRUST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781—16.1</w:t>
      </w:r>
      <w:r>
        <w:rPr>
          <w:rFonts w:ascii="Times New Roman" w:hAnsi="Times New Roman"/>
          <w:b/>
          <w:i w:val="false"/>
          <w:color w:val="000000"/>
          <w:sz w:val="22"/>
        </w:rPr>
        <w:t xml:space="preserve">(12D)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for the administration and operation of the Iowa educational savings plan trust.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781—16.2</w:t>
      </w:r>
      <w:r>
        <w:rPr>
          <w:rFonts w:ascii="Times New Roman" w:hAnsi="Times New Roman"/>
          <w:b/>
          <w:i w:val="false"/>
          <w:color w:val="000000"/>
          <w:sz w:val="22"/>
        </w:rPr>
        <w:t xml:space="preserve">(12D)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terms defined in Iowa Code section </w:t>
      </w:r>
      <w:hyperlink r:id="rId5">
        <w:r>
          <w:rPr>
            <w:rStyle w:val="Hyperlink"/>
            <w:rFonts w:ascii="Times New Roman" w:hAnsi="Times New Roman"/>
            <w:b w:val="false"/>
            <w:i w:val="false"/>
            <w:color w:val="000000"/>
            <w:sz w:val="22"/>
          </w:rPr>
          <w:t>12D.1</w:t>
        </w:r>
      </w:hyperlink>
      <w:r>
        <w:rPr>
          <w:rFonts w:ascii="Times New Roman" w:hAnsi="Times New Roman"/>
          <w:b w:val="false"/>
          <w:i w:val="false"/>
          <w:color w:val="000000"/>
          <w:sz w:val="22"/>
        </w:rPr>
        <w:t>, the following terms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“ABLE account” </w:t>
      </w:r>
      <w:r>
        <w:rPr>
          <w:rFonts w:ascii="Times New Roman" w:hAnsi="Times New Roman"/>
          <w:b w:val="false"/>
          <w:i w:val="false"/>
          <w:color w:val="000000"/>
          <w:sz w:val="22"/>
        </w:rPr>
        <w:t>means an account as defined in Section 529A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w:t>
      </w:r>
      <w:r>
        <w:rPr>
          <w:rFonts w:ascii="Times New Roman" w:hAnsi="Times New Roman"/>
          <w:b w:val="false"/>
          <w:i w:val="false"/>
          <w:color w:val="000000"/>
          <w:sz w:val="22"/>
        </w:rPr>
        <w:t>means an account established and maintained under the Iowa educational savings plan trust for a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balance” </w:t>
      </w:r>
      <w:r>
        <w:rPr>
          <w:rFonts w:ascii="Times New Roman" w:hAnsi="Times New Roman"/>
          <w:b w:val="false"/>
          <w:i w:val="false"/>
          <w:color w:val="000000"/>
          <w:sz w:val="22"/>
        </w:rPr>
        <w:t>means the fair market value of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balance limit” </w:t>
      </w:r>
      <w:r>
        <w:rPr>
          <w:rFonts w:ascii="Times New Roman" w:hAnsi="Times New Roman"/>
          <w:b w:val="false"/>
          <w:i w:val="false"/>
          <w:color w:val="000000"/>
          <w:sz w:val="22"/>
        </w:rPr>
        <w:t>means the amount determined periodically by the program administrator as necessary to provide for the qualified higher education expenses of a beneficiary in accordance with Section 529. The account balance limit shall apply to the total of all accounts in the plans for the benefit of a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“Account owner” </w:t>
      </w:r>
      <w:r>
        <w:rPr>
          <w:rFonts w:ascii="Times New Roman" w:hAnsi="Times New Roman"/>
          <w:b w:val="false"/>
          <w:i w:val="false"/>
          <w:color w:val="000000"/>
          <w:sz w:val="22"/>
        </w:rPr>
        <w:t xml:space="preserve">means the same as “participant” as defined in Iowa Code section </w:t>
      </w:r>
      <w:hyperlink r:id="rId6">
        <w:r>
          <w:rPr>
            <w:rStyle w:val="Hyperlink"/>
            <w:rFonts w:ascii="Times New Roman" w:hAnsi="Times New Roman"/>
            <w:b w:val="false"/>
            <w:i w:val="false"/>
            <w:color w:val="000000"/>
            <w:sz w:val="22"/>
          </w:rPr>
          <w:t>12D.1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“Adjusted maximum annual amount” </w:t>
      </w:r>
      <w:r>
        <w:rPr>
          <w:rFonts w:ascii="Times New Roman" w:hAnsi="Times New Roman"/>
          <w:b w:val="false"/>
          <w:i w:val="false"/>
          <w:color w:val="000000"/>
          <w:sz w:val="22"/>
        </w:rPr>
        <w:t xml:space="preserve">means the amount that an account owner may annually contribute to an account for a beneficiary and deduct from Iowa income taxes pursuant to Iowa Code chapter </w:t>
      </w:r>
      <w:hyperlink r:id="rId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means the individual designated as the beneficiary of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any party retained by the program administrator to assist in the day-to-day operations of a plan, including record-keeping, investment advisory and administrative services. The program administrator may delegate any responsibilities with respect to day-to-day operations of a plan to one or more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means an amount contributed to an account in accordance with the Internal Revenue Code, these rules and the applicable 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educational institution” </w:t>
      </w:r>
      <w:r>
        <w:rPr>
          <w:rFonts w:ascii="Times New Roman" w:hAnsi="Times New Roman"/>
          <w:b w:val="false"/>
          <w:i w:val="false"/>
          <w:color w:val="000000"/>
          <w:sz w:val="22"/>
        </w:rPr>
        <w:t>means an eligible educational institution as defined in Section 529.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IAdvisor 529 plan” </w:t>
      </w:r>
      <w:r>
        <w:rPr>
          <w:rFonts w:ascii="Times New Roman" w:hAnsi="Times New Roman"/>
          <w:b w:val="false"/>
          <w:i w:val="false"/>
          <w:color w:val="000000"/>
          <w:sz w:val="22"/>
        </w:rPr>
        <w:t>means the name and logo registered to represent the advisor-sold plan under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Revenue Code” </w:t>
      </w:r>
      <w:r>
        <w:rPr>
          <w:rFonts w:ascii="Times New Roman" w:hAnsi="Times New Roman"/>
          <w:b w:val="false"/>
          <w:i w:val="false"/>
          <w:color w:val="000000"/>
          <w:sz w:val="22"/>
        </w:rPr>
        <w:t>means the Internal Revenue Code as effective on July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“ISave 529” </w:t>
      </w:r>
      <w:r>
        <w:rPr>
          <w:rFonts w:ascii="Times New Roman" w:hAnsi="Times New Roman"/>
          <w:b w:val="false"/>
          <w:i w:val="false"/>
          <w:color w:val="000000"/>
          <w:sz w:val="22"/>
        </w:rPr>
        <w:t>means the name and logo registered under Iowa law to represent the direct-sold plan under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“K-12 institution” </w:t>
      </w:r>
      <w:r>
        <w:rPr>
          <w:rFonts w:ascii="Times New Roman" w:hAnsi="Times New Roman"/>
          <w:b w:val="false"/>
          <w:i w:val="false"/>
          <w:color w:val="000000"/>
          <w:sz w:val="22"/>
        </w:rPr>
        <w:t>means any elementary or secondary public, private, or religious school as defined in Section 529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of the family” </w:t>
      </w:r>
      <w:r>
        <w:rPr>
          <w:rFonts w:ascii="Times New Roman" w:hAnsi="Times New Roman"/>
          <w:b w:val="false"/>
          <w:i w:val="false"/>
          <w:color w:val="000000"/>
          <w:sz w:val="22"/>
        </w:rPr>
        <w:t>means a member of the family as defined in Section 529, except that for a qualified rollover to an ABLE account, “member of the family” shall mean as defined in Section 529A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“Nonqualified withdrawal” </w:t>
      </w:r>
      <w:r>
        <w:rPr>
          <w:rFonts w:ascii="Times New Roman" w:hAnsi="Times New Roman"/>
          <w:b w:val="false"/>
          <w:i w:val="false"/>
          <w:color w:val="000000"/>
          <w:sz w:val="22"/>
        </w:rPr>
        <w:t>means a withdrawal from an account that is not a qualified withdrawal or a qualified rollover.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means the form that the account owner submits to the plan to identify the account owner, beneficiary, plan, and other information that may be requested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means either (1) ISave 529, (2) IAdvisor 529 plan, or (3) any other college savings plan established by the program administrator under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administrator” </w:t>
      </w:r>
      <w:r>
        <w:rPr>
          <w:rFonts w:ascii="Times New Roman" w:hAnsi="Times New Roman"/>
          <w:b w:val="false"/>
          <w:i w:val="false"/>
          <w:color w:val="000000"/>
          <w:sz w:val="22"/>
        </w:rPr>
        <w:t>means the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description” </w:t>
      </w:r>
      <w:r>
        <w:rPr>
          <w:rFonts w:ascii="Times New Roman" w:hAnsi="Times New Roman"/>
          <w:b w:val="false"/>
          <w:i w:val="false"/>
          <w:color w:val="000000"/>
          <w:sz w:val="22"/>
        </w:rPr>
        <w:t>means the description of each plan provided to account owners setting forth information with respect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higher education expenses” </w:t>
      </w:r>
      <w:r>
        <w:rPr>
          <w:rFonts w:ascii="Times New Roman" w:hAnsi="Times New Roman"/>
          <w:b w:val="false"/>
          <w:i w:val="false"/>
          <w:color w:val="000000"/>
          <w:sz w:val="22"/>
        </w:rPr>
        <w:t>means qualified higher education expenses as defined in Section 529. Any reference to qualified higher education expenses includes a reference to expenses for tuition in connection with enrollment or attendance at an elementary or secondary public, private or religious school as defined in Section 529.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rollover” </w:t>
      </w:r>
      <w:r>
        <w:rPr>
          <w:rFonts w:ascii="Times New Roman" w:hAnsi="Times New Roman"/>
          <w:b w:val="false"/>
          <w:i w:val="false"/>
          <w:color w:val="000000"/>
          <w:sz w:val="22"/>
        </w:rPr>
        <w:t>means a distribution of amounts from a plan, which, within 60 days of such distribution, is transferred: (1) to another qualified tuition program for the benefit of the same beneficiary, provided that it has been at least 12 months from the date of a previous transfer to a qualified tuition program for that beneficiary; (2) to another qualified tuition program (or an account in another plan) for the benefit of a member of the family of the beneficiary; or (3) to an ABLE account for the beneficiary or member of the family of the beneficiary, subject to ABLE account contribution limits. “Qualified rollover” also means a distribution from a plan made in a direct transfer-to-trustee transfer to a Roth IRA in accordance with the rules under 529(c)(3)(E)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withdrawal” </w:t>
      </w:r>
      <w:r>
        <w:rPr>
          <w:rFonts w:ascii="Times New Roman" w:hAnsi="Times New Roman"/>
          <w:b w:val="false"/>
          <w:i w:val="false"/>
          <w:color w:val="000000"/>
          <w:sz w:val="22"/>
        </w:rPr>
        <w:t>means a withdrawal from an account used to pay qualified higher education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“Section 529” </w:t>
      </w:r>
      <w:r>
        <w:rPr>
          <w:rFonts w:ascii="Times New Roman" w:hAnsi="Times New Roman"/>
          <w:b w:val="false"/>
          <w:i w:val="false"/>
          <w:color w:val="000000"/>
          <w:sz w:val="22"/>
        </w:rPr>
        <w:t>means Section 529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“Successor account owner” </w:t>
      </w:r>
      <w:r>
        <w:rPr>
          <w:rFonts w:ascii="Times New Roman" w:hAnsi="Times New Roman"/>
          <w:b w:val="false"/>
          <w:i w:val="false"/>
          <w:color w:val="000000"/>
          <w:sz w:val="22"/>
        </w:rPr>
        <w:t xml:space="preserve">means a successor to the ownership of an account designated as such in accordance with rule </w:t>
      </w:r>
      <w:hyperlink r:id="rId8">
        <w:r>
          <w:rPr>
            <w:rStyle w:val="Hyperlink"/>
            <w:rFonts w:ascii="Times New Roman" w:hAnsi="Times New Roman"/>
            <w:b w:val="false"/>
            <w:i w:val="false"/>
            <w:color w:val="000000"/>
            <w:sz w:val="22"/>
          </w:rPr>
          <w:t>781—16.10</w:t>
        </w:r>
      </w:hyperlink>
      <w:r>
        <w:rPr>
          <w:rFonts w:ascii="Times New Roman" w:hAnsi="Times New Roman"/>
          <w:b w:val="false"/>
          <w:i w:val="false"/>
          <w:color w:val="000000"/>
          <w:sz w:val="22"/>
        </w:rPr>
        <w:t>(12D) and the applicable program description.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781—16.3</w:t>
      </w:r>
      <w:r>
        <w:rPr>
          <w:rFonts w:ascii="Times New Roman" w:hAnsi="Times New Roman"/>
          <w:b/>
          <w:i w:val="false"/>
          <w:color w:val="000000"/>
          <w:sz w:val="22"/>
        </w:rPr>
        <w:t xml:space="preserve">(12D) </w:t>
      </w:r>
      <w:r>
        <w:rPr>
          <w:rFonts w:ascii="Times New Roman" w:hAnsi="Times New Roman"/>
          <w:b/>
          <w:i w:val="false"/>
          <w:color w:val="000000"/>
          <w:sz w:val="22"/>
        </w:rPr>
        <w:t xml:space="preserve">Participation agreement and program description. </w:t>
      </w:r>
      <w:r>
        <w:rPr>
          <w:rFonts w:ascii="Times New Roman" w:hAnsi="Times New Roman"/>
          <w:b w:val="false"/>
          <w:i w:val="false"/>
          <w:color w:val="000000"/>
          <w:sz w:val="22"/>
        </w:rPr>
        <w:t>The following material shall be used to administer the Iowa educational savings plan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Each account owner shall submit a participation agreement in order to open an account. The participation agreement shall be signed and dated by the account owner to verify that the account owner agrees to the terms and conditions of the program. For online applications, the account owner must confirm that the account owner has read the terms and conditions prior to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Each plan will have a program description setting forth the terms of the plan and describing the investments, procedures and fees applicable to that plan. Each program description shall also set forth the privacy policy adopted by the program administrator for that plan. Persons interested in a plan should consult the program description. A program description may be changed at any time by the program administrator, and any such change may impact the rights of account owners and beneficiaries under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781—16.4</w:t>
      </w:r>
      <w:r>
        <w:rPr>
          <w:rFonts w:ascii="Times New Roman" w:hAnsi="Times New Roman"/>
          <w:b/>
          <w:i w:val="false"/>
          <w:color w:val="000000"/>
          <w:sz w:val="22"/>
        </w:rPr>
        <w:t xml:space="preserve">(12D)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forms must be completed on paper, online or via telephone (whichever is applicable for the requested actions) to perform the actions listed below. Current forms are available online at </w:t>
      </w:r>
      <w:hyperlink r:id="rId9">
        <w:r>
          <w:rPr>
            <w:rStyle w:val="Hyperlink"/>
            <w:rFonts w:ascii="Times New Roman" w:hAnsi="Times New Roman"/>
            <w:b w:val="false"/>
            <w:i w:val="false"/>
            <w:color w:val="000000"/>
            <w:sz w:val="22"/>
            <w:u w:val="single"/>
          </w:rPr>
          <w:t>ISave529.com</w:t>
        </w:r>
      </w:hyperlink>
      <w:r>
        <w:rPr>
          <w:rFonts w:ascii="Times New Roman" w:hAnsi="Times New Roman"/>
          <w:b w:val="false"/>
          <w:i w:val="false"/>
          <w:color w:val="000000"/>
          <w:sz w:val="22"/>
        </w:rPr>
        <w:t xml:space="preserve"> for ISave 529 and at </w:t>
      </w:r>
      <w:hyperlink r:id="rId10">
        <w:r>
          <w:rPr>
            <w:rStyle w:val="Hyperlink"/>
            <w:rFonts w:ascii="Times New Roman" w:hAnsi="Times New Roman"/>
            <w:b w:val="false"/>
            <w:i w:val="false"/>
            <w:color w:val="000000"/>
            <w:sz w:val="22"/>
            <w:u w:val="single"/>
          </w:rPr>
          <w:t>www.iowaadvisor529.com</w:t>
        </w:r>
      </w:hyperlink>
      <w:r>
        <w:rPr>
          <w:rFonts w:ascii="Times New Roman" w:hAnsi="Times New Roman"/>
          <w:b w:val="false"/>
          <w:i w:val="false"/>
          <w:color w:val="000000"/>
          <w:sz w:val="22"/>
        </w:rPr>
        <w:t xml:space="preserve"> for the IAdvisor 529 plan. Actions that require the completion of an appropriate form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or close an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Account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Update the account owner or beneficiary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the beneficiary.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 change or remove a successor or 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Transfer ownership rights of an account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Investment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Exchange existing investments.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the direction of future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Contribution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delete or change automatic investments or payroll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delete or change banking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or make an electronic bank transfer or an additional purchase by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Transfer funds from a qualified U.S. savings bond, education savings account or another 529 plan (directly or indirectly).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 full or partial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a qualified rollover.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delete or change an authorized agent, limited power of attorney or power of attorney on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Authorize or change a financial advisor or agent who can obtain information regarding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current trustee of a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Identify officers of an organization who can act upon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The contractor may from time to time provide additional forms for use by account owners and beneficiaries in connection with actions involving a plan and will make those forms available online and in paper format and may authorize substitute forms for a plan or a process in lieu of existing forms.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781—16.5</w:t>
      </w:r>
      <w:r>
        <w:rPr>
          <w:rFonts w:ascii="Times New Roman" w:hAnsi="Times New Roman"/>
          <w:b/>
          <w:i w:val="false"/>
          <w:color w:val="000000"/>
          <w:sz w:val="22"/>
        </w:rPr>
        <w:t xml:space="preserve">(12D) </w:t>
      </w:r>
      <w:r>
        <w:rPr>
          <w:rFonts w:ascii="Times New Roman" w:hAnsi="Times New Roman"/>
          <w:b/>
          <w:i w:val="false"/>
          <w:color w:val="000000"/>
          <w:sz w:val="22"/>
        </w:rPr>
        <w:t xml:space="preserve">Account owner eligibility. </w:t>
      </w:r>
      <w:r>
        <w:rPr>
          <w:rFonts w:ascii="Times New Roman" w:hAnsi="Times New Roman"/>
          <w:b w:val="false"/>
          <w:i w:val="false"/>
          <w:color w:val="000000"/>
          <w:sz w:val="22"/>
        </w:rPr>
        <w:t>Account owners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The account owner must be an individual, individual’s legal representative, trust, estate, or an organization described in Section 501(c)(3) of the Internal Revenue Code and exempt from taxation under Section 501(a)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An individual account owner must be at least 18 years old and a United States citizen or resident alien with a valid social security number or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An account owner shall execute a participation agreement that specifies the plan selected by the account owner and the terms and conditions under which the account owner shall participate in the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val="false"/>
          <w:color w:val="000000"/>
          <w:sz w:val="22"/>
        </w:rPr>
        <w:t>An account owner shall, on signing a participation agreement, provide the plan with the account owner’s social security number or tax identification number and the other information required on the participant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w:t>
      </w:r>
      <w:r>
        <w:rPr>
          <w:rFonts w:ascii="Times New Roman" w:hAnsi="Times New Roman"/>
          <w:b w:val="false"/>
          <w:i w:val="false"/>
          <w:color w:val="000000"/>
          <w:sz w:val="22"/>
        </w:rPr>
        <w:t> </w:t>
      </w:r>
      <w:r>
        <w:rPr>
          <w:rFonts w:ascii="Times New Roman" w:hAnsi="Times New Roman"/>
          <w:b w:val="false"/>
          <w:i w:val="false"/>
          <w:color w:val="000000"/>
          <w:sz w:val="22"/>
        </w:rPr>
        <w:t>Account owners that are trusts must submit evidence that the individual trustee is so authorized and agrees to the terms and conditions of the participation agreement and must provide the information requested by the program administrator. Account owners that are described in Section 501(c)(3) of the Internal Revenue Code must provide their tax identification number and any other information requested by the program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781—16.6</w:t>
      </w:r>
      <w:r>
        <w:rPr>
          <w:rFonts w:ascii="Times New Roman" w:hAnsi="Times New Roman"/>
          <w:b/>
          <w:i w:val="false"/>
          <w:color w:val="000000"/>
          <w:sz w:val="22"/>
        </w:rPr>
        <w:t xml:space="preserve">(12D) </w:t>
      </w:r>
      <w:r>
        <w:rPr>
          <w:rFonts w:ascii="Times New Roman" w:hAnsi="Times New Roman"/>
          <w:b/>
          <w:i w:val="false"/>
          <w:color w:val="000000"/>
          <w:sz w:val="22"/>
        </w:rPr>
        <w:t xml:space="preserve">Beneficiary eligibility. </w:t>
      </w:r>
      <w:r>
        <w:rPr>
          <w:rFonts w:ascii="Times New Roman" w:hAnsi="Times New Roman"/>
          <w:b w:val="false"/>
          <w:i w:val="false"/>
          <w:color w:val="000000"/>
          <w:sz w:val="22"/>
        </w:rPr>
        <w:t>A beneficiary of a participation agreement may be designated at any time after birth and assignment of a social security number. This rule establishes the eligibility criteria for a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A beneficiary may be a resident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An account owner shall, on signing a participation agreement, provide the contractor a valid social security number for the beneficiary.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781—16.7</w:t>
      </w:r>
      <w:r>
        <w:rPr>
          <w:rFonts w:ascii="Times New Roman" w:hAnsi="Times New Roman"/>
          <w:b/>
          <w:i w:val="false"/>
          <w:color w:val="000000"/>
          <w:sz w:val="22"/>
        </w:rPr>
        <w:t xml:space="preserve">(12D) </w:t>
      </w:r>
      <w:r>
        <w:rPr>
          <w:rFonts w:ascii="Times New Roman" w:hAnsi="Times New Roman"/>
          <w:b/>
          <w:i w:val="false"/>
          <w:color w:val="000000"/>
          <w:sz w:val="22"/>
        </w:rPr>
        <w:t xml:space="preserve">Program administrator rights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reserves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Freeze an account or suspend account services or do both when a plan has received reasonable notice of a dispute regarding the assets in an account, including notice of a dispute in account ownership or when the plan reasonably believes a fraudulent transaction may occur or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Freeze an account or suspend account services or do both upon the notification to the plan of the death of an account owner until the plan receives required documentation in good order and reasonably believes that it is lawful to transfer the account ownership to the successor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Redeem an account, without the account owner’s permission, in cases of threatening conduct or suspicious, fraudulent, or illegal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Reject a contribution for any reason, including contributions that the plan believes are not in the best interests of the plan, a portfolio, or the account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The risk of market loss, tax implications, penalties, and any other expenses, as a result of such an account freeze, account redemption, or contribution rejection, will be solely the account owner’s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The contractor will provide each account owner a fourth-quarter statement. In addition, the program administrator will provide each account owner that had an account with either contributions or withdrawals in the first, second, or third quarter with a quarterly statement for that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781—16.8</w:t>
      </w:r>
      <w:r>
        <w:rPr>
          <w:rFonts w:ascii="Times New Roman" w:hAnsi="Times New Roman"/>
          <w:b/>
          <w:i w:val="false"/>
          <w:color w:val="000000"/>
          <w:sz w:val="22"/>
        </w:rPr>
        <w:t xml:space="preserve">(12D) </w:t>
      </w:r>
      <w:r>
        <w:rPr>
          <w:rFonts w:ascii="Times New Roman" w:hAnsi="Times New Roman"/>
          <w:b/>
          <w:i w:val="false"/>
          <w:color w:val="000000"/>
          <w:sz w:val="22"/>
        </w:rPr>
        <w:t xml:space="preserve">Contributions. </w:t>
      </w:r>
      <w:r>
        <w:rPr>
          <w:rFonts w:ascii="Times New Roman" w:hAnsi="Times New Roman"/>
          <w:b w:val="false"/>
          <w:i w:val="false"/>
          <w:color w:val="000000"/>
          <w:sz w:val="22"/>
        </w:rPr>
        <w:t>Contributions are deductible in accordance with Iowa income tax laws and administrative rules of the department of revenue. Participation agreements shall be for the benefit of a specific beneficiary. This rule provides for implementation of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val="false"/>
          <w:color w:val="000000"/>
          <w:sz w:val="22"/>
        </w:rPr>
        <w:t>Account owners are allowed to make contributions at any time during the calendar year provided that each contribution is made in accordance with the minimum contribution and other requirements set forth in the 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actuarially determine the account balance limit. No additional contributions may be made on behalf of a beneficiary if the total of the account balances of all accounts held for the beneficiary exceeds the applicable account balance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administrator shall determine the adjusted maximum annual amount that an account owner may contribute and deduct from Iowa income taxes pursuant to Iowa Code chapter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on behalf of a beneficiary for the calendar year by applying the applicable inflation adjustment. The adjusted annual maximum amount shall be communicated to participants in the plans and to the public in any reasonable manner determined by the program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781—16.9</w:t>
      </w:r>
      <w:r>
        <w:rPr>
          <w:rFonts w:ascii="Times New Roman" w:hAnsi="Times New Roman"/>
          <w:b/>
          <w:i w:val="false"/>
          <w:color w:val="000000"/>
          <w:sz w:val="22"/>
        </w:rPr>
        <w:t xml:space="preserve">(12D) </w:t>
      </w:r>
      <w:r>
        <w:rPr>
          <w:rFonts w:ascii="Times New Roman" w:hAnsi="Times New Roman"/>
          <w:b/>
          <w:i w:val="false"/>
          <w:color w:val="000000"/>
          <w:sz w:val="22"/>
        </w:rPr>
        <w:t xml:space="preserve">Substitution or change of beneficiary. </w:t>
      </w:r>
      <w:r>
        <w:rPr>
          <w:rFonts w:ascii="Times New Roman" w:hAnsi="Times New Roman"/>
          <w:b w:val="false"/>
          <w:i w:val="false"/>
          <w:color w:val="000000"/>
          <w:sz w:val="22"/>
        </w:rPr>
        <w:t>Beneficiaries may be changed subject to the rules and regulations of the program administrator. This rule establishes the criteria for substituting one beneficiary for another. Beneficiary changes shall also be subject to the procedures set forth in the applicable 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the substitution, the substitute beneficiary must be an eligible beneficiary pursuant to rule </w:t>
      </w:r>
      <w:hyperlink r:id="rId12">
        <w:r>
          <w:rPr>
            <w:rStyle w:val="Hyperlink"/>
            <w:rFonts w:ascii="Times New Roman" w:hAnsi="Times New Roman"/>
            <w:b w:val="false"/>
            <w:i w:val="false"/>
            <w:color w:val="000000"/>
            <w:sz w:val="22"/>
          </w:rPr>
          <w:t>781—16.6</w:t>
        </w:r>
      </w:hyperlink>
      <w:r>
        <w:rPr>
          <w:rFonts w:ascii="Times New Roman" w:hAnsi="Times New Roman"/>
          <w:b w:val="false"/>
          <w:i w:val="false"/>
          <w:color w:val="000000"/>
          <w:sz w:val="22"/>
        </w:rPr>
        <w:t>(12D) and must be a member of the family of the beneficiary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An account owner may request that a beneficiary be substituted by submitting the appropriate form to the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781—16.10</w:t>
      </w:r>
      <w:r>
        <w:rPr>
          <w:rFonts w:ascii="Times New Roman" w:hAnsi="Times New Roman"/>
          <w:b/>
          <w:i w:val="false"/>
          <w:color w:val="000000"/>
          <w:sz w:val="22"/>
        </w:rPr>
        <w:t xml:space="preserve">(12D) </w:t>
      </w:r>
      <w:r>
        <w:rPr>
          <w:rFonts w:ascii="Times New Roman" w:hAnsi="Times New Roman"/>
          <w:b/>
          <w:i w:val="false"/>
          <w:color w:val="000000"/>
          <w:sz w:val="22"/>
        </w:rPr>
        <w:t xml:space="preserve">Change of account owner. </w:t>
      </w:r>
      <w:r>
        <w:rPr>
          <w:rFonts w:ascii="Times New Roman" w:hAnsi="Times New Roman"/>
          <w:b w:val="false"/>
          <w:i w:val="false"/>
          <w:color w:val="000000"/>
          <w:sz w:val="22"/>
        </w:rPr>
        <w:t>The account owner is the owner of the account and, as such, has the exclusive right to cancel the participation agreement or change the designated beneficiary in accordance with these rules and the applicable 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An account owner may transfer the account owner’s current ownership rights in an account to another eligible individual, an individual’s legal representative, a trust, an estate, or an organization described in Section 501(c)(3) of the Internal Revenue Code and exempt from taxation under Section 501(a) of the Internal Revenue Code or to a beneficiary. To do so, the account owner shall complete the appropriate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An account owner may also designate a successor on the participation agreement. An account owner may change the designated successor by completing the appropriate form. The designated successor shall succeed to the ownership of the account in the event of the death of the account owner. Upon the death of the account owner, the successor account owner must notify the plan by submitting a completed participant agreement form and a certified copy of the death certificate. The change in ownership of the account will become effective for the successor account owner once this paperwork has been received and processed.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val="false"/>
          <w:color w:val="000000"/>
          <w:sz w:val="22"/>
        </w:rPr>
        <w:t>In the event an account owner dies and has not designated a successor to the account, the following criteria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designated beneficiary, if 18 years of age or older, shall become the owner of the account as well as remain the beneficiary upon filing the appropriate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designated beneficiary is under the age of 18, account ownership will be transferred to a surviving parent or other legal guardian of the beneficiary upon the filing of the appropriate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16.10(4)</w:t>
      </w:r>
      <w:r>
        <w:rPr>
          <w:rFonts w:ascii="Times New Roman" w:hAnsi="Times New Roman"/>
          <w:b w:val="false"/>
          <w:i w:val="false"/>
          <w:color w:val="000000"/>
          <w:sz w:val="22"/>
        </w:rPr>
        <w:t> </w:t>
      </w:r>
      <w:r>
        <w:rPr>
          <w:rFonts w:ascii="Times New Roman" w:hAnsi="Times New Roman"/>
          <w:b w:val="false"/>
          <w:i w:val="false"/>
          <w:color w:val="000000"/>
          <w:sz w:val="22"/>
        </w:rPr>
        <w:t>The account owner may name a successor to the account even though the successor may already have established or may have plans to establish a plan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781—16.11</w:t>
      </w:r>
      <w:r>
        <w:rPr>
          <w:rFonts w:ascii="Times New Roman" w:hAnsi="Times New Roman"/>
          <w:b/>
          <w:i w:val="false"/>
          <w:color w:val="000000"/>
          <w:sz w:val="22"/>
        </w:rPr>
        <w:t xml:space="preserve">(12D) </w:t>
      </w:r>
      <w:r>
        <w:rPr>
          <w:rFonts w:ascii="Times New Roman" w:hAnsi="Times New Roman"/>
          <w:b/>
          <w:i w:val="false"/>
          <w:color w:val="000000"/>
          <w:sz w:val="22"/>
        </w:rPr>
        <w:t xml:space="preserve">Qualified withdrawals. </w:t>
      </w:r>
      <w:r>
        <w:rPr>
          <w:rFonts w:ascii="Times New Roman" w:hAnsi="Times New Roman"/>
          <w:b w:val="false"/>
          <w:i w:val="false"/>
          <w:color w:val="000000"/>
          <w:sz w:val="22"/>
        </w:rPr>
        <w:t>This rule establishes the procedures for the payment of qualified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val="false"/>
          <w:color w:val="000000"/>
          <w:sz w:val="22"/>
        </w:rPr>
        <w:t>The account owner must initiate a withdrawal for qualified or nonqualified withdrawals. The account owner must file the appropriate form with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val="false"/>
          <w:color w:val="000000"/>
          <w:sz w:val="22"/>
        </w:rPr>
        <w:t>Qualified withdrawals will be paid in one of three ways once the form has been received by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Directly to the eligible educational institution or K-12 institution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to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Directly to the beneficiary at eligible educational institutions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16.11(3)</w:t>
      </w:r>
      <w:r>
        <w:rPr>
          <w:rFonts w:ascii="Times New Roman" w:hAnsi="Times New Roman"/>
          <w:b w:val="false"/>
          <w:i w:val="false"/>
          <w:color w:val="000000"/>
          <w:sz w:val="22"/>
        </w:rPr>
        <w:t> </w:t>
      </w:r>
      <w:r>
        <w:rPr>
          <w:rFonts w:ascii="Times New Roman" w:hAnsi="Times New Roman"/>
          <w:b w:val="false"/>
          <w:i w:val="false"/>
          <w:color w:val="000000"/>
          <w:sz w:val="22"/>
        </w:rPr>
        <w:t>Withdrawals for the payment of tuition in connection with enrollment or attendance at a K-12 institution may not exceed a maximum of $10,000 per taxable year per beneficiary from all 529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16.11(4)</w:t>
      </w:r>
      <w:r>
        <w:rPr>
          <w:rFonts w:ascii="Times New Roman" w:hAnsi="Times New Roman"/>
          <w:b w:val="false"/>
          <w:i w:val="false"/>
          <w:color w:val="000000"/>
          <w:sz w:val="22"/>
        </w:rPr>
        <w:t> </w:t>
      </w:r>
      <w:r>
        <w:rPr>
          <w:rFonts w:ascii="Times New Roman" w:hAnsi="Times New Roman"/>
          <w:b w:val="false"/>
          <w:i w:val="false"/>
          <w:color w:val="000000"/>
          <w:sz w:val="22"/>
        </w:rPr>
        <w:t>Each qualified withdrawal will be comprised partly of contributions and partly of earnings, based upon the same proportion that contributions and earnings comprise the account owner’s account at the time of the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16.11(5)</w:t>
      </w:r>
      <w:r>
        <w:rPr>
          <w:rFonts w:ascii="Times New Roman" w:hAnsi="Times New Roman"/>
          <w:b w:val="false"/>
          <w:i w:val="false"/>
          <w:color w:val="000000"/>
          <w:sz w:val="22"/>
        </w:rPr>
        <w:t> </w:t>
      </w:r>
      <w:r>
        <w:rPr>
          <w:rFonts w:ascii="Times New Roman" w:hAnsi="Times New Roman"/>
          <w:b w:val="false"/>
          <w:i w:val="false"/>
          <w:color w:val="000000"/>
          <w:sz w:val="22"/>
        </w:rPr>
        <w:t>Funds that are distributed to an account owner pursuant to this rule shall be reported to the IRS on a 1099-Q in the tax year in which the withdrawal is made. The account owner will receive the 1099-Q for any withdrawal paid to the account owner. The beneficiary will receive the 1099-Q for any withdrawal paid to the beneficiary or institution of higher education. The individual receiving the 1099-Q must determine whether the withdrawal was qualified or nonqualified.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16.11(6)</w:t>
      </w:r>
      <w:r>
        <w:rPr>
          <w:rFonts w:ascii="Times New Roman" w:hAnsi="Times New Roman"/>
          <w:b w:val="false"/>
          <w:i w:val="false"/>
          <w:color w:val="000000"/>
          <w:sz w:val="22"/>
        </w:rPr>
        <w:t> </w:t>
      </w:r>
      <w:r>
        <w:rPr>
          <w:rFonts w:ascii="Times New Roman" w:hAnsi="Times New Roman"/>
          <w:b w:val="false"/>
          <w:i w:val="false"/>
          <w:color w:val="000000"/>
          <w:sz w:val="22"/>
        </w:rPr>
        <w:t>An account owner may transfer any remaining balance in one account to an existing or new account for another designated beneficiary by completing a new participation agreement with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state income tax treatment of contributions to and withdrawals from an account shall be as set forth in Iowa Code chapter </w:t>
      </w:r>
      <w:hyperlink r:id="rId1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781—16.12</w:t>
      </w:r>
      <w:r>
        <w:rPr>
          <w:rFonts w:ascii="Times New Roman" w:hAnsi="Times New Roman"/>
          <w:b/>
          <w:i w:val="false"/>
          <w:color w:val="000000"/>
          <w:sz w:val="22"/>
        </w:rPr>
        <w:t xml:space="preserve">(12D) </w:t>
      </w:r>
      <w:r>
        <w:rPr>
          <w:rFonts w:ascii="Times New Roman" w:hAnsi="Times New Roman"/>
          <w:b/>
          <w:i w:val="false"/>
          <w:color w:val="000000"/>
          <w:sz w:val="22"/>
        </w:rPr>
        <w:t xml:space="preserve">Nonqualified withdrawals and cancellation. </w:t>
      </w:r>
      <w:r>
        <w:rPr>
          <w:rFonts w:ascii="Times New Roman" w:hAnsi="Times New Roman"/>
          <w:b w:val="false"/>
          <w:i w:val="false"/>
          <w:color w:val="000000"/>
          <w:sz w:val="22"/>
        </w:rPr>
        <w:t xml:space="preserve">Iowa Code section </w:t>
      </w:r>
      <w:hyperlink r:id="rId14">
        <w:r>
          <w:rPr>
            <w:rStyle w:val="Hyperlink"/>
            <w:rFonts w:ascii="Times New Roman" w:hAnsi="Times New Roman"/>
            <w:b w:val="false"/>
            <w:i w:val="false"/>
            <w:color w:val="000000"/>
            <w:sz w:val="22"/>
          </w:rPr>
          <w:t>12D.5</w:t>
        </w:r>
      </w:hyperlink>
      <w:r>
        <w:rPr>
          <w:rFonts w:ascii="Times New Roman" w:hAnsi="Times New Roman"/>
          <w:b w:val="false"/>
          <w:i w:val="false"/>
          <w:color w:val="000000"/>
          <w:sz w:val="22"/>
        </w:rPr>
        <w:t xml:space="preserve"> provides that any account owner may cancel a participation agreement at will. This rule establishes the criteria for nonqualified withdrawals from an account or for the cancellation of a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16.12(1)</w:t>
      </w:r>
      <w:r>
        <w:rPr>
          <w:rFonts w:ascii="Times New Roman" w:hAnsi="Times New Roman"/>
          <w:b w:val="false"/>
          <w:i w:val="false"/>
          <w:color w:val="000000"/>
          <w:sz w:val="22"/>
        </w:rPr>
        <w:t> </w:t>
      </w:r>
      <w:r>
        <w:rPr>
          <w:rFonts w:ascii="Times New Roman" w:hAnsi="Times New Roman"/>
          <w:b w:val="false"/>
          <w:i w:val="false"/>
          <w:color w:val="000000"/>
          <w:sz w:val="22"/>
        </w:rPr>
        <w:t>A nonqualified withdrawal is one in which the funds are used for a purpose other than the payment of or reimbursement for qualified educational expenses. An account owner may at any time make a nonqualified withdrawal of a portion of the amount in an account or cancel a participation agreement, without cause, by submitting to the contractor the appropriate form. A nonqualified withdrawal will be paid only to the account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16.12(2)</w:t>
      </w:r>
      <w:r>
        <w:rPr>
          <w:rFonts w:ascii="Times New Roman" w:hAnsi="Times New Roman"/>
          <w:b w:val="false"/>
          <w:i w:val="false"/>
          <w:color w:val="000000"/>
          <w:sz w:val="22"/>
        </w:rPr>
        <w:t> </w:t>
      </w:r>
      <w:r>
        <w:rPr>
          <w:rFonts w:ascii="Times New Roman" w:hAnsi="Times New Roman"/>
          <w:b w:val="false"/>
          <w:i w:val="false"/>
          <w:color w:val="000000"/>
          <w:sz w:val="22"/>
        </w:rPr>
        <w:t>If the participation agreement is canceled, the account owner is entitled to the amount in the account, subject to any applicable fees and expenses. The balance shall be mailed or otherwise sent to the account owner after receipt by the contractor of the appropriate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16.12(3)</w:t>
      </w:r>
      <w:r>
        <w:rPr>
          <w:rFonts w:ascii="Times New Roman" w:hAnsi="Times New Roman"/>
          <w:b w:val="false"/>
          <w:i w:val="false"/>
          <w:color w:val="000000"/>
          <w:sz w:val="22"/>
        </w:rPr>
        <w:t> </w:t>
      </w:r>
      <w:r>
        <w:rPr>
          <w:rFonts w:ascii="Times New Roman" w:hAnsi="Times New Roman"/>
          <w:b w:val="false"/>
          <w:i w:val="false"/>
          <w:color w:val="000000"/>
          <w:sz w:val="22"/>
        </w:rPr>
        <w:t>Funds that are distributed to an account owner in a nonqualified withdrawal pursuant to this rule shall be reported to the IRS on a 1099-Q in the tax year in which such withdrawal is made. The account owner will receive the 1099-Q for any nonqualified withdrawals. The individual receiving the 1099-Q must determine whether the withdrawal was qualified or nonqualified. Nonqualified withdrawals may be subject to state and federal taxes and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781—16.13</w:t>
      </w:r>
      <w:r>
        <w:rPr>
          <w:rFonts w:ascii="Times New Roman" w:hAnsi="Times New Roman"/>
          <w:b/>
          <w:i w:val="false"/>
          <w:color w:val="000000"/>
          <w:sz w:val="22"/>
        </w:rPr>
        <w:t xml:space="preserve">(12D) </w:t>
      </w:r>
      <w:r>
        <w:rPr>
          <w:rFonts w:ascii="Times New Roman" w:hAnsi="Times New Roman"/>
          <w:b/>
          <w:i w:val="false"/>
          <w:color w:val="000000"/>
          <w:sz w:val="22"/>
        </w:rPr>
        <w:t xml:space="preserve">Qualified rollover. </w:t>
      </w:r>
      <w:r>
        <w:rPr>
          <w:rFonts w:ascii="Times New Roman" w:hAnsi="Times New Roman"/>
          <w:b w:val="false"/>
          <w:i w:val="false"/>
          <w:color w:val="000000"/>
          <w:sz w:val="22"/>
        </w:rPr>
        <w:t>This rule establishes the procedures for the payment of a qualified rollover.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val="false"/>
          <w:color w:val="000000"/>
          <w:sz w:val="22"/>
        </w:rPr>
        <w:t>The account owner must initiate a rollover and must file the appropriate form with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val="false"/>
          <w:color w:val="000000"/>
          <w:sz w:val="22"/>
        </w:rPr>
        <w:t>Qualified rollovers will be paid in one of the following ways once the form has been received by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Directly to the account owner, provided that within 60 days of such distribution, the funds are recontributed from the account owner as described in paragraph </w:t>
      </w:r>
      <w:hyperlink r:id="rId15">
        <w:r>
          <w:rPr>
            <w:rStyle w:val="Hyperlink"/>
            <w:rFonts w:ascii="Times New Roman" w:hAnsi="Times New Roman"/>
            <w:b w:val="false"/>
            <w:i w:val="false"/>
            <w:color w:val="000000"/>
            <w:sz w:val="22"/>
          </w:rPr>
          <w:t>16.13(2)</w:t>
        </w:r>
      </w:hyperlink>
      <w:r>
        <w:rPr>
          <w:rFonts w:ascii="Times New Roman" w:hAnsi="Times New Roman"/>
          <w:b w:val="false"/>
          <w:i/>
          <w:color w:val="000000"/>
          <w:sz w:val="22"/>
        </w:rPr>
        <w:t>“b,” “c”</w:t>
      </w:r>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to another qualified tuition program for the benefit of the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Directly to another account designated beneficiary under a qualified tuition program who is a member of the family of the designated beneficiary with respect to which the distribution 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Before January 1, 2026, directly to an ABLE account of the designated beneficiary or a member of the family of the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Notwithstanding any of the foregoing, any qualified rollover to a Roth IRA under Section 529 must be paid in a direct trustee-to-trustee transfer to a Roth IRA maintained for the benefit of such designated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16.13(3)</w:t>
      </w:r>
      <w:r>
        <w:rPr>
          <w:rFonts w:ascii="Times New Roman" w:hAnsi="Times New Roman"/>
          <w:b w:val="false"/>
          <w:i w:val="false"/>
          <w:color w:val="000000"/>
          <w:sz w:val="22"/>
        </w:rPr>
        <w:t> </w:t>
      </w:r>
      <w:r>
        <w:rPr>
          <w:rFonts w:ascii="Times New Roman" w:hAnsi="Times New Roman"/>
          <w:b w:val="false"/>
          <w:i w:val="false"/>
          <w:color w:val="000000"/>
          <w:sz w:val="22"/>
        </w:rPr>
        <w:t>Rollovers to a Roth IRA with respect to a designated beneficiary for such taxable year and all prior taxable years may not exceed thresholds set out in Section 529.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16.13(4)</w:t>
      </w:r>
      <w:r>
        <w:rPr>
          <w:rFonts w:ascii="Times New Roman" w:hAnsi="Times New Roman"/>
          <w:b w:val="false"/>
          <w:i w:val="false"/>
          <w:color w:val="000000"/>
          <w:sz w:val="22"/>
        </w:rPr>
        <w:t> </w:t>
      </w:r>
      <w:r>
        <w:rPr>
          <w:rFonts w:ascii="Times New Roman" w:hAnsi="Times New Roman"/>
          <w:b w:val="false"/>
          <w:i w:val="false"/>
          <w:color w:val="000000"/>
          <w:sz w:val="22"/>
        </w:rPr>
        <w:t>Each qualified rollover will be comprised partly of contributions and partly of earnings, based upon the same proportion that contributions and earnings comprise the account owner’s account at the time of the rollover.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16.13(5)</w:t>
      </w:r>
      <w:r>
        <w:rPr>
          <w:rFonts w:ascii="Times New Roman" w:hAnsi="Times New Roman"/>
          <w:b w:val="false"/>
          <w:i w:val="false"/>
          <w:color w:val="000000"/>
          <w:sz w:val="22"/>
        </w:rPr>
        <w:t> </w:t>
      </w:r>
      <w:r>
        <w:rPr>
          <w:rFonts w:ascii="Times New Roman" w:hAnsi="Times New Roman"/>
          <w:b w:val="false"/>
          <w:i w:val="false"/>
          <w:color w:val="000000"/>
          <w:sz w:val="22"/>
        </w:rPr>
        <w:t>Funds that are distributed to an account owner pursuant to this rule shall be reported to the IRS on a 1099-Q in the tax year in which the rollover or withdrawal is made. The beneficiary will receive the 1099-Q for any withdrawal or rollover paid to the beneficiary. The individual receiving the 1099-Q must determine whether the rollover was qualified or nonqualified.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state income tax treatment of a qualified rollover from an account shall be as set forth in Iowa Code chapter </w:t>
      </w:r>
      <w:hyperlink r:id="rId1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A rollover that is not a qualified rollover shall be treated as a nonqualified withdrawal.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781—16.14</w:t>
      </w:r>
      <w:r>
        <w:rPr>
          <w:rFonts w:ascii="Times New Roman" w:hAnsi="Times New Roman"/>
          <w:b/>
          <w:i w:val="false"/>
          <w:color w:val="000000"/>
          <w:sz w:val="22"/>
        </w:rPr>
        <w:t xml:space="preserve">(12D) </w:t>
      </w:r>
      <w:r>
        <w:rPr>
          <w:rFonts w:ascii="Times New Roman" w:hAnsi="Times New Roman"/>
          <w:b/>
          <w:i w:val="false"/>
          <w:color w:val="000000"/>
          <w:sz w:val="22"/>
        </w:rPr>
        <w:t xml:space="preserve">Garnishment. </w:t>
      </w:r>
      <w:r>
        <w:rPr>
          <w:rFonts w:ascii="Times New Roman" w:hAnsi="Times New Roman"/>
          <w:b w:val="false"/>
          <w:i w:val="false"/>
          <w:color w:val="000000"/>
          <w:sz w:val="22"/>
        </w:rPr>
        <w:t xml:space="preserve">Pursuant to Iowa Code section </w:t>
      </w:r>
      <w:hyperlink r:id="rId17">
        <w:r>
          <w:rPr>
            <w:rStyle w:val="Hyperlink"/>
            <w:rFonts w:ascii="Times New Roman" w:hAnsi="Times New Roman"/>
            <w:b w:val="false"/>
            <w:i w:val="false"/>
            <w:color w:val="000000"/>
            <w:sz w:val="22"/>
          </w:rPr>
          <w:t>642.2</w:t>
        </w:r>
      </w:hyperlink>
      <w:r>
        <w:rPr>
          <w:rFonts w:ascii="Times New Roman" w:hAnsi="Times New Roman"/>
          <w:b w:val="false"/>
          <w:i w:val="false"/>
          <w:color w:val="000000"/>
          <w:sz w:val="22"/>
        </w:rPr>
        <w:t>, funds held by the program administrator under the trust are not subject to garnishment.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781—16.15</w:t>
      </w:r>
      <w:r>
        <w:rPr>
          <w:rFonts w:ascii="Times New Roman" w:hAnsi="Times New Roman"/>
          <w:b/>
          <w:i w:val="false"/>
          <w:color w:val="000000"/>
          <w:sz w:val="22"/>
        </w:rPr>
        <w:t xml:space="preserve">(12D) </w:t>
      </w:r>
      <w:r>
        <w:rPr>
          <w:rFonts w:ascii="Times New Roman" w:hAnsi="Times New Roman"/>
          <w:b/>
          <w:i w:val="false"/>
          <w:color w:val="000000"/>
          <w:sz w:val="22"/>
        </w:rPr>
        <w:t xml:space="preserve">Appeal of decisions. </w:t>
      </w:r>
      <w:r>
        <w:rPr>
          <w:rFonts w:ascii="Times New Roman" w:hAnsi="Times New Roman"/>
          <w:b w:val="false"/>
          <w:i w:val="false"/>
          <w:color w:val="000000"/>
          <w:sz w:val="22"/>
        </w:rPr>
        <w:t>An account owner may appeal any decision of the program administrator under these rules and with respect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16.15(1)</w:t>
      </w:r>
      <w:r>
        <w:rPr>
          <w:rFonts w:ascii="Times New Roman" w:hAnsi="Times New Roman"/>
          <w:b w:val="false"/>
          <w:i w:val="false"/>
          <w:color w:val="000000"/>
          <w:sz w:val="22"/>
        </w:rPr>
        <w:t> </w:t>
      </w:r>
      <w:r>
        <w:rPr>
          <w:rFonts w:ascii="Times New Roman" w:hAnsi="Times New Roman"/>
          <w:b w:val="false"/>
          <w:i w:val="false"/>
          <w:color w:val="000000"/>
          <w:sz w:val="22"/>
        </w:rPr>
        <w:t>An account owner may utilize the appeals process after receipt of the decision from the program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16.15(2)</w:t>
      </w:r>
      <w:r>
        <w:rPr>
          <w:rFonts w:ascii="Times New Roman" w:hAnsi="Times New Roman"/>
          <w:b w:val="false"/>
          <w:i w:val="false"/>
          <w:color w:val="000000"/>
          <w:sz w:val="22"/>
        </w:rPr>
        <w:t> </w:t>
      </w:r>
      <w:r>
        <w:rPr>
          <w:rFonts w:ascii="Times New Roman" w:hAnsi="Times New Roman"/>
          <w:b w:val="false"/>
          <w:i w:val="false"/>
          <w:color w:val="000000"/>
          <w:sz w:val="22"/>
        </w:rPr>
        <w:t>Failure to submit the appeal request within 30 calendar days of receipt of the decision from the program administrator shall constitute an acceptance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16.15(3)</w:t>
      </w:r>
      <w:r>
        <w:rPr>
          <w:rFonts w:ascii="Times New Roman" w:hAnsi="Times New Roman"/>
          <w:b w:val="false"/>
          <w:i w:val="false"/>
          <w:color w:val="000000"/>
          <w:sz w:val="22"/>
        </w:rPr>
        <w:t> </w:t>
      </w:r>
      <w:r>
        <w:rPr>
          <w:rFonts w:ascii="Times New Roman" w:hAnsi="Times New Roman"/>
          <w:b w:val="false"/>
          <w:i w:val="false"/>
          <w:color w:val="000000"/>
          <w:sz w:val="22"/>
        </w:rPr>
        <w:t>The account owner shall submit to the program administrator a written request for an appeal along with all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16.15(4)</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shall contact the account owner and schedule an appeal meeting within 30 calendar days of receipt of the account owner’s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16.15(5)</w:t>
      </w:r>
      <w:r>
        <w:rPr>
          <w:rFonts w:ascii="Times New Roman" w:hAnsi="Times New Roman"/>
          <w:b w:val="false"/>
          <w:i w:val="false"/>
          <w:color w:val="000000"/>
          <w:sz w:val="22"/>
        </w:rPr>
        <w:t> </w:t>
      </w:r>
      <w:r>
        <w:rPr>
          <w:rFonts w:ascii="Times New Roman" w:hAnsi="Times New Roman"/>
          <w:b w:val="false"/>
          <w:i w:val="false"/>
          <w:color w:val="000000"/>
          <w:sz w:val="22"/>
        </w:rPr>
        <w:t>An appeal review shall be conducted at which time the account owner shall present evidence supporting the account owner’s basis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16.15(6)</w:t>
      </w:r>
      <w:r>
        <w:rPr>
          <w:rFonts w:ascii="Times New Roman" w:hAnsi="Times New Roman"/>
          <w:b w:val="false"/>
          <w:i w:val="false"/>
          <w:color w:val="000000"/>
          <w:sz w:val="22"/>
        </w:rPr>
        <w:t> </w:t>
      </w:r>
      <w:r>
        <w:rPr>
          <w:rFonts w:ascii="Times New Roman" w:hAnsi="Times New Roman"/>
          <w:b w:val="false"/>
          <w:i w:val="false"/>
          <w:color w:val="000000"/>
          <w:sz w:val="22"/>
        </w:rPr>
        <w:t>Based on the evidence and additional information presented during the appeal, the program administrator will render a final decision. Such final decision will be written and sent to the account owner within 30 calendar days of the appeal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4463C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12D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9/18/98—published 10/7/98, effective 9/18/98]</w:t>
      </w:r>
    </w:p>
    <w:p>
      <w:pPr>
        <w:spacing w:before="0" w:after="0"/>
        <w:ind w:left="120"/>
        <w:jc w:val="center"/>
      </w:pPr>
      <w:r>
        <w:rPr>
          <w:rFonts w:ascii="Times New Roman" w:hAnsi="Times New Roman"/>
          <w:b w:val="false"/>
          <w:i w:val="false"/>
          <w:color w:val="000000"/>
          <w:sz w:val="21"/>
        </w:rPr>
        <w:t>[Filed emergency 10/15/99—published 11/3/99, effective 10/15/99]</w:t>
      </w:r>
    </w:p>
    <w:p>
      <w:pPr>
        <w:spacing w:before="0" w:after="0"/>
        <w:ind w:left="120"/>
        <w:jc w:val="center"/>
      </w:pPr>
      <w:r>
        <w:rPr>
          <w:rFonts w:ascii="Times New Roman" w:hAnsi="Times New Roman"/>
          <w:b w:val="false"/>
          <w:i w:val="false"/>
          <w:color w:val="000000"/>
          <w:sz w:val="21"/>
        </w:rPr>
        <w:t>[Filed emergency 1/2/02—published 1/23/02, effective 1/2/02]</w:t>
      </w:r>
    </w:p>
    <w:p>
      <w:pPr>
        <w:spacing w:before="0" w:after="0"/>
        <w:ind w:left="120"/>
        <w:jc w:val="center"/>
      </w:pPr>
      <w:r>
        <w:rPr>
          <w:rFonts w:ascii="Times New Roman" w:hAnsi="Times New Roman"/>
          <w:b w:val="false"/>
          <w:i w:val="false"/>
          <w:color w:val="000000"/>
          <w:sz w:val="21"/>
        </w:rPr>
        <w:t>[Filed 2/6/08, Notice 1/2/08—published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2875C</w:t>
      </w:r>
      <w:r>
        <w:rPr>
          <w:rFonts w:ascii="Times New Roman" w:hAnsi="Times New Roman"/>
          <w:b w:val="false"/>
          <w:i w:val="false"/>
          <w:color w:val="000000"/>
          <w:sz w:val="21"/>
        </w:rPr>
        <w:t xml:space="preserve"> (Notice ARC 2791C, IAB 10/26/16)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4463C</w:t>
      </w:r>
      <w:r>
        <w:rPr>
          <w:rFonts w:ascii="Times New Roman" w:hAnsi="Times New Roman"/>
          <w:b w:val="false"/>
          <w:i w:val="false"/>
          <w:color w:val="000000"/>
          <w:sz w:val="21"/>
        </w:rPr>
        <w:t xml:space="preserve"> (Notice ARC 4124C, IAB 11/21/18)</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8845C</w:t>
      </w:r>
      <w:r>
        <w:rPr>
          <w:rFonts w:ascii="Times New Roman" w:hAnsi="Times New Roman"/>
          <w:b w:val="false"/>
          <w:i w:val="false"/>
          <w:color w:val="000000"/>
          <w:sz w:val="21"/>
        </w:rPr>
        <w:t xml:space="preserve"> (Notice ARC 8104C, IAB 7/10/24)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D.1.pdf" Type="http://schemas.openxmlformats.org/officeDocument/2006/relationships/hyperlink" Id="rId5"/>
    <Relationship TargetMode="External" Target="https://www.legis.iowa.gov/docs/ico/chapter/12D.1.pdf" Type="http://schemas.openxmlformats.org/officeDocument/2006/relationships/hyperlink" Id="rId6"/>
    <Relationship TargetMode="External" Target="https://www.legis.iowa.gov/docs/ico/chapter/422.pdf" Type="http://schemas.openxmlformats.org/officeDocument/2006/relationships/hyperlink" Id="rId7"/>
    <Relationship TargetMode="External" Target="https://www.legis.iowa.gov/docs/iac/rule/781.16.10.pdf" Type="http://schemas.openxmlformats.org/officeDocument/2006/relationships/hyperlink" Id="rId8"/>
    <Relationship TargetMode="External" Target="http://ISave529.com" Type="http://schemas.openxmlformats.org/officeDocument/2006/relationships/hyperlink" Id="rId9"/>
    <Relationship TargetMode="External" Target="http://www.iowaadvisor529.com" Type="http://schemas.openxmlformats.org/officeDocument/2006/relationships/hyperlink" Id="rId10"/>
    <Relationship TargetMode="External" Target="https://www.legis.iowa.gov/docs/ico/chapter/422.pdf" Type="http://schemas.openxmlformats.org/officeDocument/2006/relationships/hyperlink" Id="rId11"/>
    <Relationship TargetMode="External" Target="https://www.legis.iowa.gov/docs/iac/rule/781.16.6.pdf" Type="http://schemas.openxmlformats.org/officeDocument/2006/relationships/hyperlink" Id="rId12"/>
    <Relationship TargetMode="External" Target="https://www.legis.iowa.gov/docs/ico/chapter/422.pdf" Type="http://schemas.openxmlformats.org/officeDocument/2006/relationships/hyperlink" Id="rId13"/>
    <Relationship TargetMode="External" Target="https://www.legis.iowa.gov/docs/ico/chapter/12D.5.pdf" Type="http://schemas.openxmlformats.org/officeDocument/2006/relationships/hyperlink" Id="rId14"/>
    <Relationship TargetMode="External" Target="https://www.legis.iowa.gov/docs/iac/rule/781.16.13.pdf" Type="http://schemas.openxmlformats.org/officeDocument/2006/relationships/hyperlink" Id="rId15"/>
    <Relationship TargetMode="External" Target="https://www.legis.iowa.gov/docs/ico/chapter/422.pdf" Type="http://schemas.openxmlformats.org/officeDocument/2006/relationships/hyperlink" Id="rId16"/>
    <Relationship TargetMode="External" Target="https://www.legis.iowa.gov/docs/ico/chapter/642.2.pdf" Type="http://schemas.openxmlformats.org/officeDocument/2006/relationships/hyperlink" Id="rId17"/>
    <Relationship TargetMode="External" Target="https://www.legis.iowa.gov/docs/ico/chapter/12D.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