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920</w:t>
      </w:r>
    </w:p>
    <w:p>
      <w:pPr>
        <w:spacing w:before="0" w:after="0"/>
        <w:ind w:left="120"/>
        <w:jc w:val="center"/>
      </w:pPr>
      <w:r>
        <w:rPr>
          <w:rFonts w:ascii="Times New Roman" w:hAnsi="Times New Roman"/>
          <w:b w:val="false"/>
          <w:i w:val="false"/>
          <w:color w:val="000000"/>
          <w:sz w:val="21"/>
        </w:rPr>
        <w:t>STATE TRANSIT ASSISTANCE</w:t>
      </w:r>
    </w:p>
    <w:p>
      <w:pPr>
        <w:spacing w:before="0" w:after="0"/>
        <w:ind w:left="120"/>
        <w:jc w:val="center"/>
      </w:pPr>
      <w:r>
        <w:rPr>
          <w:rFonts w:ascii="Times New Roman" w:hAnsi="Times New Roman"/>
          <w:b w:val="false"/>
          <w:i w:val="false"/>
          <w:color w:val="000000"/>
          <w:sz w:val="14"/>
        </w:rPr>
        <w:t>[Prior to 6/3/87, Transportation Department [820]—(09,B)Ch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761—920.1</w:t>
      </w:r>
      <w:r>
        <w:rPr>
          <w:rFonts w:ascii="Times New Roman" w:hAnsi="Times New Roman"/>
          <w:b/>
          <w:i w:val="false"/>
          <w:color w:val="000000"/>
          <w:sz w:val="22"/>
        </w:rPr>
        <w:t xml:space="preserve">(324A)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State financial assistance to any public transit system shall be restricted to joint projects with the department that hold substantial promise of accomplishing the following 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920.1(1)</w:t>
      </w:r>
      <w:r>
        <w:rPr>
          <w:rFonts w:ascii="Times New Roman" w:hAnsi="Times New Roman"/>
          <w:b w:val="false"/>
          <w:i w:val="false"/>
          <w:color w:val="000000"/>
          <w:sz w:val="22"/>
        </w:rPr>
        <w:t> </w:t>
      </w:r>
      <w:r>
        <w:rPr>
          <w:rFonts w:ascii="Times New Roman" w:hAnsi="Times New Roman"/>
          <w:b w:val="false"/>
          <w:i w:val="false"/>
          <w:color w:val="000000"/>
          <w:sz w:val="22"/>
        </w:rPr>
        <w:t>Development, maintenance and improvement of transit services for the general public and for transportation disadvantaged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920.1(2)</w:t>
      </w:r>
      <w:r>
        <w:rPr>
          <w:rFonts w:ascii="Times New Roman" w:hAnsi="Times New Roman"/>
          <w:b w:val="false"/>
          <w:i w:val="false"/>
          <w:color w:val="000000"/>
          <w:sz w:val="22"/>
        </w:rPr>
        <w:t> </w:t>
      </w:r>
      <w:r>
        <w:rPr>
          <w:rFonts w:ascii="Times New Roman" w:hAnsi="Times New Roman"/>
          <w:b w:val="false"/>
          <w:i w:val="false"/>
          <w:color w:val="000000"/>
          <w:sz w:val="22"/>
        </w:rPr>
        <w:t>Protection of the rights of private enterprise public transit providers, especially those providing intercity scheduled services on fixed routes.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920.1(3)</w:t>
      </w:r>
      <w:r>
        <w:rPr>
          <w:rFonts w:ascii="Times New Roman" w:hAnsi="Times New Roman"/>
          <w:b w:val="false"/>
          <w:i w:val="false"/>
          <w:color w:val="000000"/>
          <w:sz w:val="22"/>
        </w:rPr>
        <w:t> </w:t>
      </w:r>
      <w:r>
        <w:rPr>
          <w:rFonts w:ascii="Times New Roman" w:hAnsi="Times New Roman"/>
          <w:b w:val="false"/>
          <w:i w:val="false"/>
          <w:color w:val="000000"/>
          <w:sz w:val="22"/>
        </w:rPr>
        <w:t>Improvement of transit system effectiveness and efficiency.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761—920.2</w:t>
      </w:r>
      <w:r>
        <w:rPr>
          <w:rFonts w:ascii="Times New Roman" w:hAnsi="Times New Roman"/>
          <w:b/>
          <w:i w:val="false"/>
          <w:color w:val="000000"/>
          <w:sz w:val="22"/>
        </w:rPr>
        <w:t xml:space="preserve">(324A) </w:t>
      </w:r>
      <w:r>
        <w:rPr>
          <w:rFonts w:ascii="Times New Roman" w:hAnsi="Times New Roman"/>
          <w:b/>
          <w:i w:val="false"/>
          <w:color w:val="000000"/>
          <w:sz w:val="22"/>
        </w:rPr>
        <w:t xml:space="preserve">General information. </w:t>
      </w:r>
      <w:r>
        <w:rPr>
          <w:rFonts w:ascii="Times New Roman" w:hAnsi="Times New Roman"/>
          <w:b w:val="false"/>
          <w:i w:val="false"/>
          <w:color w:val="000000"/>
          <w:sz w:val="22"/>
        </w:rPr>
        <w:t xml:space="preserve">The department shall post annually the required forms and instructions for applying for state transit assistance to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and notify each public transit system in Iowa of the availability. Requests for assistance and questions about application preparation should be directed to: Public Transit Bureau, Iowa Department of Transportation, 800 Lincoln Way, Ames, Iowa 50010; telephone (515)233-7870.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2/23/11</w:t>
      </w:r>
      <w:r>
        <w:rPr>
          <w:rFonts w:ascii="Times New Roman" w:hAnsi="Times New Roman"/>
          <w:b w:val="false"/>
          <w:i w:val="false"/>
          <w:color w:val="000000"/>
          <w:sz w:val="16"/>
        </w:rPr>
        <w:t xml:space="preserve">; </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5497C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761—920.3</w:t>
      </w:r>
      <w:r>
        <w:rPr>
          <w:rFonts w:ascii="Times New Roman" w:hAnsi="Times New Roman"/>
          <w:b/>
          <w:i w:val="false"/>
          <w:color w:val="000000"/>
          <w:sz w:val="22"/>
        </w:rPr>
        <w:t xml:space="preserve">(324A)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except for the definition of “urban transit system,”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“Formula assistance” </w:t>
      </w:r>
      <w:r>
        <w:rPr>
          <w:rFonts w:ascii="Times New Roman" w:hAnsi="Times New Roman"/>
          <w:b w:val="false"/>
          <w:i w:val="false"/>
          <w:color w:val="000000"/>
          <w:sz w:val="22"/>
        </w:rPr>
        <w:t>means state transit assistance appropriations minus funds reserved for special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participation agreement” </w:t>
      </w:r>
      <w:r>
        <w:rPr>
          <w:rFonts w:ascii="Times New Roman" w:hAnsi="Times New Roman"/>
          <w:b w:val="false"/>
          <w:i w:val="false"/>
          <w:color w:val="000000"/>
          <w:sz w:val="22"/>
        </w:rPr>
        <w:t>means a contract between the department and a public transit system for either operations or capital assistance needed for implementation of a transit service project or projects. Each agreement shall include, but not be limited to, a project budget, method of payment, and period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concerted set of actions that will develop, maintain, or improve one or more elements of the public transit system’s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transit system” </w:t>
      </w:r>
      <w:r>
        <w:rPr>
          <w:rFonts w:ascii="Times New Roman" w:hAnsi="Times New Roman"/>
          <w:b w:val="false"/>
          <w:i w:val="false"/>
          <w:color w:val="000000"/>
          <w:sz w:val="22"/>
        </w:rPr>
        <w:t xml:space="preserve">means a system designated by the department which meets the requirements of Iowa Code section </w:t>
      </w:r>
      <w:hyperlink r:id="rId7">
        <w:r>
          <w:rPr>
            <w:rStyle w:val="Hyperlink"/>
            <w:rFonts w:ascii="Times New Roman" w:hAnsi="Times New Roman"/>
            <w:b w:val="false"/>
            <w:i w:val="false"/>
            <w:color w:val="000000"/>
            <w:sz w:val="22"/>
          </w:rPr>
          <w:t>324A.1(8)</w:t>
        </w:r>
      </w:hyperlink>
      <w:r>
        <w:rPr>
          <w:rFonts w:ascii="Times New Roman" w:hAnsi="Times New Roman"/>
          <w:b w:val="false"/>
          <w:i w:val="false"/>
          <w:color w:val="000000"/>
          <w:sz w:val="22"/>
        </w:rPr>
        <w:t>. To be designated as an urban transit system for the purposes of this chapter, the system must serve a city or urbanized area with a population of 20,000 or more. The system also must be managed by a board of local officials who have either been elected by the public or appointed by elected officials, and who are responsible for policy and oversight of transit services for one or more incorporated areas within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5497C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761—920.4</w:t>
      </w:r>
      <w:r>
        <w:rPr>
          <w:rFonts w:ascii="Times New Roman" w:hAnsi="Times New Roman"/>
          <w:b/>
          <w:i w:val="false"/>
          <w:color w:val="000000"/>
          <w:sz w:val="22"/>
        </w:rPr>
        <w:t xml:space="preserve">(324A) </w:t>
      </w:r>
      <w:r>
        <w:rPr>
          <w:rFonts w:ascii="Times New Roman" w:hAnsi="Times New Roman"/>
          <w:b/>
          <w:i w:val="false"/>
          <w:color w:val="000000"/>
          <w:sz w:val="22"/>
        </w:rPr>
        <w:t xml:space="preserve">Types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920.4(1)</w:t>
      </w:r>
      <w:r>
        <w:rPr>
          <w:rFonts w:ascii="Times New Roman" w:hAnsi="Times New Roman"/>
          <w:b w:val="false"/>
          <w:i w:val="false"/>
          <w:color w:val="000000"/>
          <w:sz w:val="22"/>
        </w:rPr>
        <w:t> </w:t>
      </w:r>
      <w:r>
        <w:rPr>
          <w:rFonts w:ascii="Times New Roman" w:hAnsi="Times New Roman"/>
          <w:b w:val="false"/>
          <w:i/>
          <w:color w:val="000000"/>
          <w:sz w:val="22"/>
        </w:rPr>
        <w:t xml:space="preserve">Formula projects. </w:t>
      </w:r>
      <w:r>
        <w:rPr>
          <w:rFonts w:ascii="Times New Roman" w:hAnsi="Times New Roman"/>
          <w:b w:val="false"/>
          <w:i w:val="false"/>
          <w:color w:val="000000"/>
          <w:sz w:val="22"/>
        </w:rPr>
        <w:t>A formula project may involve operations assistance, capital assistance, planning, or any combination of the three. These projects are developed, analyzed and ranked through the transit planning process which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public transit system shall arrange with the appropriate planning agencies for a review of all projects submitted, shall ensure public participation and discussion, and shall list the projects by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public transit system shall submit its ranked list of proposed projects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920.4(2)</w:t>
      </w:r>
      <w:r>
        <w:rPr>
          <w:rFonts w:ascii="Times New Roman" w:hAnsi="Times New Roman"/>
          <w:b w:val="false"/>
          <w:i w:val="false"/>
          <w:color w:val="000000"/>
          <w:sz w:val="22"/>
        </w:rPr>
        <w:t> </w:t>
      </w:r>
      <w:r>
        <w:rPr>
          <w:rFonts w:ascii="Times New Roman" w:hAnsi="Times New Roman"/>
          <w:b w:val="false"/>
          <w:i/>
          <w:color w:val="000000"/>
          <w:sz w:val="22"/>
        </w:rPr>
        <w:t xml:space="preserve">Special projects.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projects are extraordinary, emergency or innovative in nature, and may include, but are not limited to,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Expanding the scope of planning, managerial, or technical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Increasing the public’s awareness and understanding of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Enhancing the capacity for administration consolidation and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impediments to intramodal or intermodal transfers.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Increasing the cooperation and coordination between private and public sectors.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demonstrating, or refining a technical, procedural, or mechanical innovation that may be utilized by other public transit systems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Responding to an emergency situation that places an extraordinary and unforeseen strain on the resources of a public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training fellowships may be submitted to the department at any 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special projects are due to the department by October 1 each year. The department may announce to the public transit systems the acceptance of special project applications at other times of the year if unobligated funds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5497C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761—920.5</w:t>
      </w:r>
      <w:r>
        <w:rPr>
          <w:rFonts w:ascii="Times New Roman" w:hAnsi="Times New Roman"/>
          <w:b/>
          <w:i w:val="false"/>
          <w:color w:val="000000"/>
          <w:sz w:val="22"/>
        </w:rPr>
        <w:t xml:space="preserve">(324A) </w:t>
      </w:r>
      <w:r>
        <w:rPr>
          <w:rFonts w:ascii="Times New Roman" w:hAnsi="Times New Roman"/>
          <w:b/>
          <w:i w:val="false"/>
          <w:color w:val="000000"/>
          <w:sz w:val="22"/>
        </w:rPr>
        <w:t xml:space="preserve">Standards for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transit system. </w:t>
      </w:r>
      <w:r>
        <w:rPr>
          <w:rFonts w:ascii="Times New Roman" w:hAnsi="Times New Roman"/>
          <w:b w:val="false"/>
          <w:i w:val="false"/>
          <w:color w:val="000000"/>
          <w:sz w:val="22"/>
        </w:rPr>
        <w:t>A public transit system is eligible for project assistance if the system is in compliance with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transit system abides by all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transit system maintains primary documentation for all revenues and expenses for a period of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transit system maintains the system’s policies, routes, schedules, fare structure, and budget in a manner that encourages public review, responsiveness to user concerns, energy conservation, and fiscal solvency.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transit system received departmental approval of the system’s plan or schedule for repayment of any loan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transit system accurately reports all services to be supported with project formula assistance and ensures that all services are open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920.5(2)</w:t>
      </w:r>
      <w:r>
        <w:rPr>
          <w:rFonts w:ascii="Times New Roman" w:hAnsi="Times New Roman"/>
          <w:b w:val="false"/>
          <w:i w:val="false"/>
          <w:color w:val="000000"/>
          <w:sz w:val="22"/>
        </w:rPr>
        <w:t> </w:t>
      </w:r>
      <w:r>
        <w:rPr>
          <w:rFonts w:ascii="Times New Roman" w:hAnsi="Times New Roman"/>
          <w:b w:val="false"/>
          <w:i/>
          <w:color w:val="000000"/>
          <w:sz w:val="22"/>
        </w:rPr>
        <w:t xml:space="preserve">Project conditions. </w:t>
      </w:r>
      <w:r>
        <w:rPr>
          <w:rFonts w:ascii="Times New Roman" w:hAnsi="Times New Roman"/>
          <w:b w:val="false"/>
          <w:i w:val="false"/>
          <w:color w:val="000000"/>
          <w:sz w:val="22"/>
        </w:rPr>
        <w:t>The department shall obligate state transit assistance for joint projects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project must be included in the current year of the locally adopted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project shall contain payment criteria, through the joint participation agreement, which are mutually agreed upon by the department and the contracting officer of the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special project shall have a preestablished basis for determining success using a specified means of performance management and shall have a detailed budget of the resources available and the assistance necessary for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assistance for a special project involving capital expense shall not exceed 85 percent of the project’s total capital expense. State assistance for a special project involving operating support shall not exceed 80 percent of the project’s total operating expense in the first year and 50 percent of the project’s total operating expense in the second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920.5(3)</w:t>
      </w:r>
      <w:r>
        <w:rPr>
          <w:rFonts w:ascii="Times New Roman" w:hAnsi="Times New Roman"/>
          <w:b w:val="false"/>
          <w:i w:val="false"/>
          <w:color w:val="000000"/>
          <w:sz w:val="22"/>
        </w:rPr>
        <w:t> </w:t>
      </w:r>
      <w:r>
        <w:rPr>
          <w:rFonts w:ascii="Times New Roman" w:hAnsi="Times New Roman"/>
          <w:b w:val="false"/>
          <w:i/>
          <w:color w:val="000000"/>
          <w:sz w:val="22"/>
        </w:rPr>
        <w:t xml:space="preserve">Items not eligible for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Administrative, operations, or capital expenses which are determined by the department to be inconsistent with department policies, public law, officially approved planning and programming documents, or inconsistent with the purpose of improving the effectiveness and quality of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managerial, administrative, or operational systems which duplicate programs made available at no charge to the transit system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system eligibility for formula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beginning of each fiscal year, each state-designated public transit system’s formula percentage shall be determined through the process shown in the appendix located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Transit system data used in determining formula percentage is based only on services which are open to the general public and is derived from the last fiscal year for which complete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shown in the appendix establishes the percentage of available state transit assistance funds not reserved for special projects for which each transit system is eligible during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each system’s eligibility for formula assistance from this appropriation shall be determined by multiplying the system’s formula percentage by the amount of the appropriation not reserved for special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dollar amount of state transit assistance is not known until the funds are actually deposited in the state transit assistance account, the amount of each system’s eligibility for formula assistance from these funds shall be determined as follows: At the beginning of each month, the system’s formula percentage shall be multiplied by the amount of new funds not reserved for special projects that were deposited in the state transit assistance account during the previous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transit system’s eligibility for programmed project assistance may be reduced if it is subject to the sanctions outlined in Iowa Code section </w:t>
      </w:r>
      <w:hyperlink r:id="rId8">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761—Chapter 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920.5(5)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amount reserved for special projects. </w:t>
      </w:r>
      <w:r>
        <w:rPr>
          <w:rFonts w:ascii="Times New Roman" w:hAnsi="Times New Roman"/>
          <w:b w:val="false"/>
          <w:i w:val="false"/>
          <w:color w:val="000000"/>
          <w:sz w:val="22"/>
        </w:rPr>
        <w:t xml:space="preserve">Each fiscal year, at least $300,000 will be reserved from state transit assistance appropriations for special projects. Any special project funds not obligated in the previous fiscal year and any funds made available through closeout of previously approved projects may also be reserved for special projects. Special project funds are distributed by the department on a discretionary basis in accordance with subrule </w:t>
      </w:r>
      <w:hyperlink r:id="rId10">
        <w:r>
          <w:rPr>
            <w:rStyle w:val="Hyperlink"/>
            <w:rFonts w:ascii="Times New Roman" w:hAnsi="Times New Roman"/>
            <w:b w:val="false"/>
            <w:i w:val="false"/>
            <w:color w:val="000000"/>
            <w:sz w:val="22"/>
          </w:rPr>
          <w:t>920.4(2)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761—920.6</w:t>
      </w:r>
      <w:r>
        <w:rPr>
          <w:rFonts w:ascii="Times New Roman" w:hAnsi="Times New Roman"/>
          <w:b/>
          <w:i w:val="false"/>
          <w:color w:val="000000"/>
          <w:sz w:val="22"/>
        </w:rPr>
        <w:t xml:space="preserve">(324A) </w:t>
      </w:r>
      <w:r>
        <w:rPr>
          <w:rFonts w:ascii="Times New Roman" w:hAnsi="Times New Roman"/>
          <w:b/>
          <w:i w:val="false"/>
          <w:color w:val="000000"/>
          <w:sz w:val="22"/>
        </w:rPr>
        <w:t xml:space="preserve">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department shall review the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920.6(2)</w:t>
      </w: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Based on available funds and the project priorities established by the transit systems, the department shall prepare a set of funding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920.6(3)</w:t>
      </w:r>
      <w:r>
        <w:rPr>
          <w:rFonts w:ascii="Times New Roman" w:hAnsi="Times New Roman"/>
          <w:b w:val="false"/>
          <w:i w:val="false"/>
          <w:color w:val="000000"/>
          <w:sz w:val="22"/>
        </w:rPr>
        <w:t> </w:t>
      </w:r>
      <w:r>
        <w:rPr>
          <w:rFonts w:ascii="Times New Roman" w:hAnsi="Times New Roman"/>
          <w:b w:val="false"/>
          <w:i/>
          <w:color w:val="000000"/>
          <w:sz w:val="22"/>
        </w:rPr>
        <w:t xml:space="preserve">Approval and agreement. </w:t>
      </w:r>
      <w:r>
        <w:rPr>
          <w:rFonts w:ascii="Times New Roman" w:hAnsi="Times New Roman"/>
          <w:b w:val="false"/>
          <w:i w:val="false"/>
          <w:color w:val="000000"/>
          <w:sz w:val="22"/>
        </w:rPr>
        <w:t xml:space="preserve">Upon approval of the projects by the transportation commission, the department shall prepare a joint participation agreement and send it to each public transit system for execution.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920.6(4)</w:t>
      </w:r>
      <w:r>
        <w:rPr>
          <w:rFonts w:ascii="Times New Roman" w:hAnsi="Times New Roman"/>
          <w:b w:val="false"/>
          <w:i w:val="false"/>
          <w:color w:val="000000"/>
          <w:sz w:val="22"/>
        </w:rPr>
        <w:t> </w:t>
      </w:r>
      <w:r>
        <w:rPr>
          <w:rFonts w:ascii="Times New Roman" w:hAnsi="Times New Roman"/>
          <w:b w:val="false"/>
          <w:i/>
          <w:color w:val="000000"/>
          <w:sz w:val="22"/>
        </w:rPr>
        <w:t xml:space="preserve">Advance payment allowed. </w:t>
      </w:r>
      <w:r>
        <w:rPr>
          <w:rFonts w:ascii="Times New Roman" w:hAnsi="Times New Roman"/>
          <w:b w:val="false"/>
          <w:i w:val="false"/>
          <w:color w:val="000000"/>
          <w:sz w:val="22"/>
        </w:rPr>
        <w:t>Each transit system with a signed joint participation agreement may be paid formula assistance monthly, in advance of project expenditures,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 system included in its application a request for advance allocations as set forth in Iowa Code section </w:t>
      </w:r>
      <w:hyperlink r:id="rId11">
        <w:r>
          <w:rPr>
            <w:rStyle w:val="Hyperlink"/>
            <w:rFonts w:ascii="Times New Roman" w:hAnsi="Times New Roman"/>
            <w:b w:val="false"/>
            <w:i w:val="false"/>
            <w:color w:val="000000"/>
            <w:sz w:val="22"/>
          </w:rPr>
          <w:t>324A.6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transit system is current on all reporting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transit system is current on all scheduled repayments under loan contracts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3194C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2427"/>
        <w:gridCol w:w="8763"/>
      </w:tblGrid>
      <w:tr>
        <w:trPr>
          <w:trHeight w:val="435" w:hRule="atLeast"/>
        </w:trPr>
        <w:tc>
          <w:tcPr>
            <w:tcW w:w="0" w:type="auto"/>
            <w:gridSpan w:val="2"/>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APPENDIX TO</w:t>
            </w:r>
          </w:p>
          <w:p>
            <w:pPr>
              <w:spacing w:before="0" w:after="0"/>
              <w:ind w:left="160"/>
              <w:jc w:val="center"/>
            </w:pPr>
            <w:hyperlink r:id="rId13">
              <w:r>
                <w:rPr>
                  <w:rStyle w:val="Hyperlink"/>
                  <w:rFonts w:ascii="Times New Roman" w:hAnsi="Times New Roman"/>
                  <w:b w:val="false"/>
                  <w:i w:val="false"/>
                  <w:color w:val="000000"/>
                  <w:sz w:val="18"/>
                </w:rPr>
                <w:t>761—920.5(324A)</w:t>
              </w:r>
            </w:hyperlink>
          </w:p>
        </w:tc>
      </w:tr>
      <w:tr>
        <w:trPr>
          <w:trHeight w:val="8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FP</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Formula percentage. The percentage of any state transit assistance appropriation that a public transit system is eligible to receive from the nondiscretionary portion of the appropriation. Determination of a public transit system’s formula percentage shall be made using the method diagrammed in this appendix.</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 </w:t>
            </w:r>
          </w:p>
        </w:tc>
      </w:tr>
      <w:tr>
        <w:trPr>
          <w:trHeight w:val="435"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FY</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Fiscal year. The 12-month period beginning July 1 of one year and ending June 30 of the following year.</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LDI</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Locally determined income. All transit system revenue dedicated for operations expense during a fiscal year, minus federal operating assistance from the U.S. Department of Transportation and minus all special project operating support and formula assistance funds received from the Iowa Department of Transportation.</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OpExp</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Operations expense. All eligible transit system expenses related to operating, maintaining, and administering transit operations.</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Pass</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Passenger. A person boarding a transit vehicle for the purpose of making a trip. A passenger is counted each time that person boards a vehicle for travel to a destination.</w:t>
            </w:r>
          </w:p>
        </w:tc>
      </w:tr>
      <w:tr>
        <w:trPr>
          <w:trHeight w:val="24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7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30" w:hRule="atLeast"/>
        </w:trPr>
        <w:tc>
          <w:tcPr>
            <w:tcW w:w="24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RevMi</w:t>
            </w:r>
          </w:p>
        </w:tc>
        <w:tc>
          <w:tcPr>
            <w:tcW w:w="876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Revenue miles. Total vehicle miles traveled by revenue vehicles of public transit systems while in revenue service. Excludes miles traveled to and from storage facilities and other deadhead travel.</w:t>
            </w:r>
          </w:p>
        </w:tc>
      </w:tr>
    </w:tbl>
    <w:p>
      <w:pPr>
        <w:pageBreakBefore/>
        <w:spacing w:before="0" w:after="0"/>
        <w:ind w:left="120"/>
        <w:jc w:val="left"/>
      </w:pPr>
    </w:p>
    <w:tbl>
      <w:tblPr>
        <w:tblW w:w="5000" w:type="pct"/>
        <w:tblCellSpacing w:w="0" w:type="auto"/>
        <w:tblBorders>
          <w:top w:val="none"/>
          <w:left w:val="none"/>
          <w:bottom w:val="none"/>
          <w:right w:val="none"/>
          <w:insideH w:val="none"/>
          <w:insideV w:val="none"/>
        </w:tblBorders>
        <w:tblLayout w:type="fixed"/>
      </w:tblPr>
      <w:tblGrid>
        <w:gridCol w:w="1338"/>
        <w:gridCol w:w="570"/>
        <w:gridCol w:w="666"/>
        <w:gridCol w:w="2394"/>
        <w:gridCol w:w="666"/>
        <w:gridCol w:w="4986"/>
        <w:gridCol w:w="570"/>
      </w:tblGrid>
      <w:tr>
        <w:trPr>
          <w:trHeight w:val="435" w:hRule="atLeast"/>
        </w:trPr>
        <w:tc>
          <w:tcPr>
            <w:tcW w:w="0" w:type="auto"/>
            <w:gridSpan w:val="7"/>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APPENDIX TO</w:t>
            </w:r>
          </w:p>
          <w:p>
            <w:pPr>
              <w:spacing w:before="0" w:after="0"/>
              <w:ind w:left="160"/>
              <w:jc w:val="center"/>
            </w:pPr>
            <w:hyperlink r:id="rId14">
              <w:r>
                <w:rPr>
                  <w:rStyle w:val="Hyperlink"/>
                  <w:rFonts w:ascii="Times New Roman" w:hAnsi="Times New Roman"/>
                  <w:b w:val="false"/>
                  <w:i w:val="false"/>
                  <w:color w:val="000000"/>
                  <w:sz w:val="18"/>
                </w:rPr>
                <w:t>761—920.5(324A)</w:t>
              </w:r>
            </w:hyperlink>
          </w:p>
        </w:tc>
      </w:tr>
      <w:tr>
        <w:trPr>
          <w:trHeight w:val="240" w:hRule="atLeast"/>
        </w:trPr>
        <w:tc>
          <w:tcPr>
            <w:tcW w:w="0" w:type="auto"/>
            <w:gridSpan w:val="7"/>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FORMULA FOR DETERMINATION OF FORMULA PERCENTAGE</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Regional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System’s LDI</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2394" w:type="dxa"/>
            <w:tcBorders/>
            <w:tcMar>
              <w:top w:w="30" w:type="dxa"/>
              <w:left w:w="30" w:type="dxa"/>
              <w:bottom w:w="15" w:type="dxa"/>
              <w:right w:w="30" w:type="dxa"/>
            </w:tcMar>
            <w:vAlign w:val="top"/>
          </w:tcPr>
          <w:p>
            <w:pPr>
              <w:spacing w:before="0" w:after="0"/>
              <w:ind w:left="0"/>
              <w:jc w:val="left"/>
            </w:pP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4986" w:type="dxa"/>
            <w:tcBorders/>
            <w:tcMar>
              <w:top w:w="30" w:type="dxa"/>
              <w:left w:w="30" w:type="dxa"/>
              <w:bottom w:w="15" w:type="dxa"/>
              <w:right w:w="30" w:type="dxa"/>
            </w:tcMar>
            <w:vAlign w:val="top"/>
          </w:tcPr>
          <w:p>
            <w:pPr>
              <w:spacing w:before="0" w:after="0"/>
              <w:ind w:left="0"/>
              <w:jc w:val="left"/>
            </w:pPr>
          </w:p>
        </w:tc>
        <w:tc>
          <w:tcPr>
            <w:tcW w:w="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Total State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Sum of LDI for all regions</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Regional</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Regional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System’s Pass to OpExp ratio</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System’s</w:t>
            </w:r>
          </w:p>
        </w:tc>
        <w:tc>
          <w:tcPr>
            <w:tcW w:w="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2394" w:type="dxa"/>
            <w:tcBorders/>
            <w:tcMar>
              <w:top w:w="30" w:type="dxa"/>
              <w:left w:w="30" w:type="dxa"/>
              <w:bottom w:w="15" w:type="dxa"/>
              <w:right w:w="30" w:type="dxa"/>
            </w:tcMar>
            <w:vAlign w:val="top"/>
          </w:tcPr>
          <w:p>
            <w:pPr>
              <w:spacing w:before="0" w:after="0"/>
              <w:ind w:left="0"/>
              <w:jc w:val="left"/>
            </w:pP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4986" w:type="dxa"/>
            <w:tcBorders/>
            <w:tcMar>
              <w:top w:w="30" w:type="dxa"/>
              <w:left w:w="30" w:type="dxa"/>
              <w:bottom w:w="15" w:type="dxa"/>
              <w:right w:w="30" w:type="dxa"/>
            </w:tcMar>
            <w:vAlign w:val="top"/>
          </w:tcPr>
          <w:p>
            <w:pPr>
              <w:spacing w:before="0" w:after="0"/>
              <w:ind w:left="0"/>
              <w:jc w:val="left"/>
            </w:pPr>
          </w:p>
        </w:tc>
        <w:tc>
          <w:tcPr>
            <w:tcW w:w="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r>
      <w:tr>
        <w:trPr>
          <w:trHeight w:val="240" w:hRule="atLeast"/>
        </w:trPr>
        <w:tc>
          <w:tcPr>
            <w:tcW w:w="13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FP</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Total State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Sum of Pass to OpExp ratios for all regions</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Regional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System’s RevMi to OpExp ratio</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2394" w:type="dxa"/>
            <w:tcBorders/>
            <w:tcMar>
              <w:top w:w="30" w:type="dxa"/>
              <w:left w:w="30" w:type="dxa"/>
              <w:bottom w:w="15" w:type="dxa"/>
              <w:right w:w="30" w:type="dxa"/>
            </w:tcMar>
            <w:vAlign w:val="top"/>
          </w:tcPr>
          <w:p>
            <w:pPr>
              <w:spacing w:before="0" w:after="0"/>
              <w:ind w:left="0"/>
              <w:jc w:val="left"/>
            </w:pP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4986" w:type="dxa"/>
            <w:tcBorders/>
            <w:tcMar>
              <w:top w:w="30" w:type="dxa"/>
              <w:left w:w="30" w:type="dxa"/>
              <w:bottom w:w="15" w:type="dxa"/>
              <w:right w:w="30" w:type="dxa"/>
            </w:tcMar>
            <w:vAlign w:val="top"/>
          </w:tcPr>
          <w:p>
            <w:pPr>
              <w:spacing w:before="0" w:after="0"/>
              <w:ind w:left="0"/>
              <w:jc w:val="left"/>
            </w:pP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Total State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Sum of RevMi to OpExp ratios for all regions</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Urban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System’s LDI</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.50</w:t>
            </w:r>
          </w:p>
        </w:tc>
        <w:tc>
          <w:tcPr>
            <w:tcW w:w="2394" w:type="dxa"/>
            <w:tcBorders/>
            <w:tcMar>
              <w:top w:w="30" w:type="dxa"/>
              <w:left w:w="30" w:type="dxa"/>
              <w:bottom w:w="15" w:type="dxa"/>
              <w:right w:w="30" w:type="dxa"/>
            </w:tcMar>
            <w:vAlign w:val="top"/>
          </w:tcPr>
          <w:p>
            <w:pPr>
              <w:spacing w:before="0" w:after="0"/>
              <w:ind w:left="0"/>
              <w:jc w:val="left"/>
            </w:pP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4986" w:type="dxa"/>
            <w:tcBorders/>
            <w:tcMar>
              <w:top w:w="30" w:type="dxa"/>
              <w:left w:w="30" w:type="dxa"/>
              <w:bottom w:w="15" w:type="dxa"/>
              <w:right w:w="30" w:type="dxa"/>
            </w:tcMar>
            <w:vAlign w:val="top"/>
          </w:tcPr>
          <w:p>
            <w:pPr>
              <w:spacing w:before="0" w:after="0"/>
              <w:ind w:left="0"/>
              <w:jc w:val="left"/>
            </w:pPr>
          </w:p>
        </w:tc>
        <w:tc>
          <w:tcPr>
            <w:tcW w:w="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Total State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Sum of LDI for all urbans</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Urban</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Urban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System Pass to OpExp ratio</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System’s</w:t>
            </w:r>
          </w:p>
        </w:tc>
        <w:tc>
          <w:tcPr>
            <w:tcW w:w="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2394" w:type="dxa"/>
            <w:tcBorders/>
            <w:tcMar>
              <w:top w:w="30" w:type="dxa"/>
              <w:left w:w="30" w:type="dxa"/>
              <w:bottom w:w="15" w:type="dxa"/>
              <w:right w:w="30" w:type="dxa"/>
            </w:tcMar>
            <w:vAlign w:val="top"/>
          </w:tcPr>
          <w:p>
            <w:pPr>
              <w:spacing w:before="0" w:after="0"/>
              <w:ind w:left="0"/>
              <w:jc w:val="left"/>
            </w:pP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p>
        </w:tc>
        <w:tc>
          <w:tcPr>
            <w:tcW w:w="5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r>
      <w:tr>
        <w:trPr>
          <w:trHeight w:val="240" w:hRule="atLeast"/>
        </w:trPr>
        <w:tc>
          <w:tcPr>
            <w:tcW w:w="13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FP</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Total State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Sum of Pass to OpExp ratios for all urbans</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Urban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System’s RevMi to OpExp ratio</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.25</w:t>
            </w:r>
          </w:p>
        </w:tc>
        <w:tc>
          <w:tcPr>
            <w:tcW w:w="2394" w:type="dxa"/>
            <w:tcBorders/>
            <w:tcMar>
              <w:top w:w="30" w:type="dxa"/>
              <w:left w:w="30" w:type="dxa"/>
              <w:bottom w:w="15" w:type="dxa"/>
              <w:right w:w="30" w:type="dxa"/>
            </w:tcMar>
            <w:vAlign w:val="top"/>
          </w:tcPr>
          <w:p>
            <w:pPr>
              <w:spacing w:before="0" w:after="0"/>
              <w:ind w:left="0"/>
              <w:jc w:val="left"/>
            </w:pP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4986" w:type="dxa"/>
            <w:tcBorders/>
            <w:tcMar>
              <w:top w:w="30" w:type="dxa"/>
              <w:left w:w="30" w:type="dxa"/>
              <w:bottom w:w="15" w:type="dxa"/>
              <w:right w:w="30" w:type="dxa"/>
            </w:tcMar>
            <w:vAlign w:val="top"/>
          </w:tcPr>
          <w:p>
            <w:pPr>
              <w:spacing w:before="0" w:after="0"/>
              <w:ind w:left="0"/>
              <w:jc w:val="left"/>
            </w:pP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Total State RevMi</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Sum of RevMi to OpExp ratios for all urbans</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3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3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7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center"/>
      </w:pPr>
      <w:r>
        <w:rPr>
          <w:rFonts w:ascii="Times New Roman" w:hAnsi="Times New Roman"/>
          <w:b w:val="false"/>
          <w:i w:val="false"/>
          <w:color w:val="000000"/>
          <w:sz w:val="21"/>
        </w:rPr>
        <w:t>[Filed 9/15/76, Notice 7/26/76—published 10/6/76, effective 11/10/76]</w:t>
      </w:r>
    </w:p>
    <w:p>
      <w:pPr>
        <w:spacing w:before="0" w:after="0"/>
        <w:ind w:left="120"/>
        <w:jc w:val="center"/>
      </w:pPr>
      <w:r>
        <w:rPr>
          <w:rFonts w:ascii="Times New Roman" w:hAnsi="Times New Roman"/>
          <w:b w:val="false"/>
          <w:i w:val="false"/>
          <w:color w:val="000000"/>
          <w:sz w:val="21"/>
        </w:rPr>
        <w:t>[Filed 2/18/82, Notice 1/6/82—published 3/17/82, effective 4/21/82]</w:t>
      </w:r>
    </w:p>
    <w:p>
      <w:pPr>
        <w:spacing w:before="0" w:after="0"/>
        <w:ind w:left="120"/>
        <w:jc w:val="center"/>
      </w:pPr>
      <w:r>
        <w:rPr>
          <w:rFonts w:ascii="Times New Roman" w:hAnsi="Times New Roman"/>
          <w:b w:val="false"/>
          <w:i w:val="false"/>
          <w:color w:val="000000"/>
          <w:sz w:val="21"/>
        </w:rPr>
        <w:t>[Filed 4/17/85, Notice 2/27/85—published 5/8/85, effective 6/12/85]</w:t>
      </w:r>
    </w:p>
    <w:p>
      <w:pPr>
        <w:spacing w:before="0" w:after="0"/>
        <w:ind w:left="120"/>
        <w:jc w:val="center"/>
      </w:pPr>
      <w:r>
        <w:rPr>
          <w:rFonts w:ascii="Times New Roman" w:hAnsi="Times New Roman"/>
          <w:b w:val="false"/>
          <w:i w:val="false"/>
          <w:color w:val="000000"/>
          <w:sz w:val="21"/>
        </w:rPr>
        <w:t>[Filed emergency 12/11/85—published 1/1/86, effective 1/1/86]</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6/15/89 after Notice 5/3/89—published 7/12/89, effective 7/1/89]</w:t>
      </w:r>
    </w:p>
    <w:p>
      <w:pPr>
        <w:spacing w:before="0" w:after="0"/>
        <w:ind w:left="120"/>
        <w:jc w:val="center"/>
      </w:pPr>
      <w:r>
        <w:rPr>
          <w:rFonts w:ascii="Times New Roman" w:hAnsi="Times New Roman"/>
          <w:b w:val="false"/>
          <w:i w:val="false"/>
          <w:color w:val="000000"/>
          <w:sz w:val="21"/>
        </w:rPr>
        <w:t>[Filed 9/25/91, Notice 8/21/91—published 10/16/91, effective 11/20/91]</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3/25/94, Notice 2/16/94—published 4/13/94, effective 5/18/94]</w:t>
      </w:r>
    </w:p>
    <w:p>
      <w:pPr>
        <w:spacing w:before="0" w:after="0"/>
        <w:ind w:left="120"/>
        <w:jc w:val="center"/>
      </w:pPr>
      <w:r>
        <w:rPr>
          <w:rFonts w:ascii="Times New Roman" w:hAnsi="Times New Roman"/>
          <w:b w:val="false"/>
          <w:i w:val="false"/>
          <w:color w:val="000000"/>
          <w:sz w:val="21"/>
        </w:rPr>
        <w:t>[Filed 9/8/94, Notice 7/20/94—published 9/28/94, effective 11/2/94]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3194C</w:t>
      </w:r>
      <w:r>
        <w:rPr>
          <w:rFonts w:ascii="Times New Roman" w:hAnsi="Times New Roman"/>
          <w:b w:val="false"/>
          <w:i w:val="false"/>
          <w:color w:val="000000"/>
          <w:sz w:val="21"/>
        </w:rPr>
        <w:t xml:space="preserve"> (Notice ARC 3034C, IAB 4/26/17)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5497C</w:t>
      </w:r>
      <w:r>
        <w:rPr>
          <w:rFonts w:ascii="Times New Roman" w:hAnsi="Times New Roman"/>
          <w:b w:val="false"/>
          <w:i w:val="false"/>
          <w:color w:val="000000"/>
          <w:sz w:val="21"/>
        </w:rPr>
        <w:t xml:space="preserve"> (Notice ARC 5312C, IAB 12/16/20)</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24A.1.pdf" Type="http://schemas.openxmlformats.org/officeDocument/2006/relationships/hyperlink" Id="rId6"/>
    <Relationship TargetMode="External" Target="https://www.legis.iowa.gov/docs/ico/chapter/324A.1.pdf" Type="http://schemas.openxmlformats.org/officeDocument/2006/relationships/hyperlink" Id="rId7"/>
    <Relationship TargetMode="External" Target="https://www.legis.iowa.gov/docs/ico/chapter/324A.5.pdf" Type="http://schemas.openxmlformats.org/officeDocument/2006/relationships/hyperlink" Id="rId8"/>
    <Relationship TargetMode="External" Target="https://www.legis.iowa.gov/docs/iac/chapter/761.910.pdf" Type="http://schemas.openxmlformats.org/officeDocument/2006/relationships/hyperlink" Id="rId9"/>
    <Relationship TargetMode="External" Target="https://www.legis.iowa.gov/docs/iac/rule/761.920.4.pdf" Type="http://schemas.openxmlformats.org/officeDocument/2006/relationships/hyperlink" Id="rId10"/>
    <Relationship TargetMode="External" Target="https://www.legis.iowa.gov/docs/ico/chapter/324A.6.pdf" Type="http://schemas.openxmlformats.org/officeDocument/2006/relationships/hyperlink" Id="rId11"/>
    <Relationship TargetMode="External" Target="https://www.legis.iowa.gov/docs/ico/chapter/324A.pdf" Type="http://schemas.openxmlformats.org/officeDocument/2006/relationships/hyperlink" Id="rId12"/>
    <Relationship TargetMode="External" Target="https://www.legis.iowa.gov/docs/iac/rule/761.920.5.pdf" Type="http://schemas.openxmlformats.org/officeDocument/2006/relationships/hyperlink" Id="rId13"/>
    <Relationship TargetMode="External" Target="https://www.legis.iowa.gov/docs/iac/rule/761.920.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