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910</w:t>
      </w:r>
    </w:p>
    <w:p>
      <w:pPr>
        <w:spacing w:before="0" w:after="0"/>
        <w:ind w:left="120"/>
        <w:jc w:val="center"/>
      </w:pPr>
      <w:r>
        <w:rPr>
          <w:rFonts w:ascii="Times New Roman" w:hAnsi="Times New Roman"/>
          <w:b w:val="false"/>
          <w:i w:val="false"/>
          <w:color w:val="000000"/>
          <w:sz w:val="21"/>
        </w:rPr>
        <w:t>COORDINATION OF PUBLIC TRANSIT SERVICES</w:t>
      </w:r>
    </w:p>
    <w:p>
      <w:pPr>
        <w:spacing w:before="0" w:after="0"/>
        <w:ind w:left="120"/>
        <w:jc w:val="center"/>
      </w:pPr>
      <w:r>
        <w:rPr>
          <w:rFonts w:ascii="Times New Roman" w:hAnsi="Times New Roman"/>
          <w:b w:val="false"/>
          <w:i w:val="false"/>
          <w:color w:val="000000"/>
          <w:sz w:val="14"/>
        </w:rPr>
        <w:t>[Prior to 6/3/87, Transportation Department [820]—(09,A)Ch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761—910.1</w:t>
      </w:r>
      <w:r>
        <w:rPr>
          <w:rFonts w:ascii="Times New Roman" w:hAnsi="Times New Roman"/>
          <w:b/>
          <w:i w:val="false"/>
          <w:color w:val="000000"/>
          <w:sz w:val="22"/>
        </w:rPr>
        <w:t xml:space="preserve">(324A)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the following definitions shall apply in addition to the definitions in Iowa Code section </w:t>
      </w:r>
      <w:hyperlink r:id="rId5">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 xml:space="preserve">means the statewide transportation coordination advisory council formed in rule </w:t>
      </w:r>
      <w:hyperlink r:id="rId6">
        <w:r>
          <w:rPr>
            <w:rStyle w:val="Hyperlink"/>
            <w:rFonts w:ascii="Times New Roman" w:hAnsi="Times New Roman"/>
            <w:b w:val="false"/>
            <w:i w:val="false"/>
            <w:color w:val="000000"/>
            <w:sz w:val="22"/>
          </w:rPr>
          <w:t>910.3</w:t>
        </w:r>
      </w:hyperlink>
      <w:r>
        <w:rPr>
          <w:rFonts w:ascii="Times New Roman" w:hAnsi="Times New Roman"/>
          <w:b w:val="false"/>
          <w:i w:val="false"/>
          <w:color w:val="000000"/>
          <w:sz w:val="22"/>
        </w:rPr>
        <w:t>(324A).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state department of transportation. The department’s modal transportation bureau administers Iowa Code chapter </w:t>
      </w:r>
      <w:hyperlink r:id="rId7">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transportation” </w:t>
      </w:r>
      <w:r>
        <w:rPr>
          <w:rFonts w:ascii="Times New Roman" w:hAnsi="Times New Roman"/>
          <w:b w:val="false"/>
          <w:i w:val="false"/>
          <w:color w:val="000000"/>
          <w:sz w:val="22"/>
        </w:rPr>
        <w:t>means transportation provided when life, health or safety is in danger, such as ambulance or law enforcement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 transportation” </w:t>
      </w:r>
      <w:r>
        <w:rPr>
          <w:rFonts w:ascii="Times New Roman" w:hAnsi="Times New Roman"/>
          <w:b w:val="false"/>
          <w:i w:val="false"/>
          <w:color w:val="000000"/>
          <w:sz w:val="22"/>
        </w:rPr>
        <w:t>means the provision of transit rides when existing public transportation services cannot meet demand. Allowable charter service and meal deliveries are examples of incidental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any recipient of direct or indirect, state, federal or local funds, including a public transit system, that provides or contracts for public transit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school transportation” </w:t>
      </w:r>
      <w:r>
        <w:rPr>
          <w:rFonts w:ascii="Times New Roman" w:hAnsi="Times New Roman"/>
          <w:b w:val="false"/>
          <w:i w:val="false"/>
          <w:color w:val="000000"/>
          <w:sz w:val="22"/>
        </w:rPr>
        <w:t>means passenger transportation provided by or for a legally organized Iowa public school district for school district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transit service” </w:t>
      </w:r>
      <w:r>
        <w:rPr>
          <w:rFonts w:ascii="Times New Roman" w:hAnsi="Times New Roman"/>
          <w:b w:val="false"/>
          <w:i w:val="false"/>
          <w:color w:val="000000"/>
          <w:sz w:val="22"/>
        </w:rPr>
        <w:t>means any publicly funded passenger transportation for the general public or for specific client groups not including exclusive public school transportation, emergency transportation or incidental transportation or transportation provided by the department of health and human services or department of corrections on the grounds of the following institutions:</w:t>
      </w:r>
    </w:p>
    <w:p>
      <w:pPr>
        <w:spacing w:before="0" w:after="0"/>
        <w:ind w:left="120"/>
        <w:jc w:val="both"/>
      </w:pPr>
      <w:r>
        <w:rPr>
          <w:rFonts w:ascii="Times New Roman" w:hAnsi="Times New Roman"/>
          <w:b w:val="false"/>
          <w:i w:val="false"/>
          <w:color w:val="000000"/>
          <w:sz w:val="22"/>
        </w:rPr>
        <w:t>State training school, Eldora;</w:t>
      </w:r>
    </w:p>
    <w:p>
      <w:pPr>
        <w:spacing w:before="0" w:after="0"/>
        <w:ind w:left="120"/>
        <w:jc w:val="both"/>
      </w:pPr>
      <w:r>
        <w:rPr>
          <w:rFonts w:ascii="Times New Roman" w:hAnsi="Times New Roman"/>
          <w:b w:val="false"/>
          <w:i w:val="false"/>
          <w:color w:val="000000"/>
          <w:sz w:val="22"/>
        </w:rPr>
        <w:t>Cherokee mental health institute;</w:t>
      </w:r>
    </w:p>
    <w:p>
      <w:pPr>
        <w:spacing w:before="0" w:after="0"/>
        <w:ind w:left="120"/>
        <w:jc w:val="both"/>
      </w:pPr>
      <w:r>
        <w:rPr>
          <w:rFonts w:ascii="Times New Roman" w:hAnsi="Times New Roman"/>
          <w:b w:val="false"/>
          <w:i w:val="false"/>
          <w:color w:val="000000"/>
          <w:sz w:val="22"/>
        </w:rPr>
        <w:t>Independence mental health institute;</w:t>
      </w:r>
    </w:p>
    <w:p>
      <w:pPr>
        <w:spacing w:before="0" w:after="0"/>
        <w:ind w:left="120"/>
        <w:jc w:val="both"/>
      </w:pPr>
      <w:r>
        <w:rPr>
          <w:rFonts w:ascii="Times New Roman" w:hAnsi="Times New Roman"/>
          <w:b w:val="false"/>
          <w:i w:val="false"/>
          <w:color w:val="000000"/>
          <w:sz w:val="22"/>
        </w:rPr>
        <w:t>Glenwood state hospital-school;</w:t>
      </w:r>
    </w:p>
    <w:p>
      <w:pPr>
        <w:spacing w:before="0" w:after="0"/>
        <w:ind w:left="120"/>
        <w:jc w:val="both"/>
      </w:pPr>
      <w:r>
        <w:rPr>
          <w:rFonts w:ascii="Times New Roman" w:hAnsi="Times New Roman"/>
          <w:b w:val="false"/>
          <w:i w:val="false"/>
          <w:color w:val="000000"/>
          <w:sz w:val="22"/>
        </w:rPr>
        <w:t>Woodward state hospital-school;</w:t>
      </w:r>
    </w:p>
    <w:p>
      <w:pPr>
        <w:spacing w:before="0" w:after="0"/>
        <w:ind w:left="120"/>
        <w:jc w:val="both"/>
      </w:pPr>
      <w:r>
        <w:rPr>
          <w:rFonts w:ascii="Times New Roman" w:hAnsi="Times New Roman"/>
          <w:b w:val="false"/>
          <w:i w:val="false"/>
          <w:color w:val="000000"/>
          <w:sz w:val="22"/>
        </w:rPr>
        <w:t>Iowa veterans home, Marshalltown;</w:t>
      </w:r>
    </w:p>
    <w:p>
      <w:pPr>
        <w:spacing w:before="0" w:after="0"/>
        <w:ind w:left="120"/>
        <w:jc w:val="both"/>
      </w:pPr>
      <w:r>
        <w:rPr>
          <w:rFonts w:ascii="Times New Roman" w:hAnsi="Times New Roman"/>
          <w:b w:val="false"/>
          <w:i w:val="false"/>
          <w:color w:val="000000"/>
          <w:sz w:val="22"/>
        </w:rPr>
        <w:t>Iowa state penitentiary, Fort Madison;</w:t>
      </w:r>
    </w:p>
    <w:p>
      <w:pPr>
        <w:spacing w:before="0" w:after="0"/>
        <w:ind w:left="120"/>
        <w:jc w:val="both"/>
      </w:pPr>
      <w:r>
        <w:rPr>
          <w:rFonts w:ascii="Times New Roman" w:hAnsi="Times New Roman"/>
          <w:b w:val="false"/>
          <w:i w:val="false"/>
          <w:color w:val="000000"/>
          <w:sz w:val="22"/>
        </w:rPr>
        <w:t>Anamosa state penitentiary, Anamosa;</w:t>
      </w:r>
    </w:p>
    <w:p>
      <w:pPr>
        <w:spacing w:before="0" w:after="0"/>
        <w:ind w:left="120"/>
        <w:jc w:val="both"/>
      </w:pPr>
      <w:r>
        <w:rPr>
          <w:rFonts w:ascii="Times New Roman" w:hAnsi="Times New Roman"/>
          <w:b w:val="false"/>
          <w:i w:val="false"/>
          <w:color w:val="000000"/>
          <w:sz w:val="22"/>
        </w:rPr>
        <w:t>Iowa correctional institution for women, Mitchellville;</w:t>
      </w:r>
    </w:p>
    <w:p>
      <w:pPr>
        <w:spacing w:before="0" w:after="0"/>
        <w:ind w:left="120"/>
        <w:jc w:val="both"/>
      </w:pPr>
      <w:r>
        <w:rPr>
          <w:rFonts w:ascii="Times New Roman" w:hAnsi="Times New Roman"/>
          <w:b w:val="false"/>
          <w:i w:val="false"/>
          <w:color w:val="000000"/>
          <w:sz w:val="22"/>
        </w:rPr>
        <w:t>Mount Pleasant correctional facility, Mount Pleasant;</w:t>
      </w:r>
    </w:p>
    <w:p>
      <w:pPr>
        <w:spacing w:before="0" w:after="0"/>
        <w:ind w:left="120"/>
        <w:jc w:val="both"/>
      </w:pPr>
      <w:r>
        <w:rPr>
          <w:rFonts w:ascii="Times New Roman" w:hAnsi="Times New Roman"/>
          <w:b w:val="false"/>
          <w:i w:val="false"/>
          <w:color w:val="000000"/>
          <w:sz w:val="22"/>
        </w:rPr>
        <w:t>Newton correctional facility, Newton;</w:t>
      </w:r>
    </w:p>
    <w:p>
      <w:pPr>
        <w:spacing w:before="0" w:after="0"/>
        <w:ind w:left="120"/>
        <w:jc w:val="both"/>
      </w:pPr>
      <w:r>
        <w:rPr>
          <w:rFonts w:ascii="Times New Roman" w:hAnsi="Times New Roman"/>
          <w:b w:val="false"/>
          <w:i w:val="false"/>
          <w:color w:val="000000"/>
          <w:sz w:val="22"/>
        </w:rPr>
        <w:t>Iowa medical and classification center, Coralville;</w:t>
      </w:r>
    </w:p>
    <w:p>
      <w:pPr>
        <w:spacing w:before="0" w:after="0"/>
        <w:ind w:left="120"/>
        <w:jc w:val="both"/>
      </w:pPr>
      <w:r>
        <w:rPr>
          <w:rFonts w:ascii="Times New Roman" w:hAnsi="Times New Roman"/>
          <w:b w:val="false"/>
          <w:i w:val="false"/>
          <w:color w:val="000000"/>
          <w:sz w:val="22"/>
        </w:rPr>
        <w:t>North central correctional facility, Rockwell City;</w:t>
      </w:r>
    </w:p>
    <w:p>
      <w:pPr>
        <w:spacing w:before="0" w:after="0"/>
        <w:ind w:left="120"/>
        <w:jc w:val="both"/>
      </w:pPr>
      <w:r>
        <w:rPr>
          <w:rFonts w:ascii="Times New Roman" w:hAnsi="Times New Roman"/>
          <w:b w:val="false"/>
          <w:i w:val="false"/>
          <w:color w:val="000000"/>
          <w:sz w:val="22"/>
        </w:rPr>
        <w:t>Fort Dodge correctional facility, Fort Dodge;</w:t>
      </w:r>
    </w:p>
    <w:p>
      <w:pPr>
        <w:spacing w:before="0" w:after="0"/>
        <w:ind w:left="120"/>
        <w:jc w:val="both"/>
      </w:pPr>
      <w:r>
        <w:rPr>
          <w:rFonts w:ascii="Times New Roman" w:hAnsi="Times New Roman"/>
          <w:b w:val="false"/>
          <w:i w:val="false"/>
          <w:color w:val="000000"/>
          <w:sz w:val="22"/>
        </w:rPr>
        <w:t>Clarinda correctional facility, Clarinda.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3690C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761—910.2</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Information and location. </w:t>
      </w:r>
      <w:r>
        <w:rPr>
          <w:rFonts w:ascii="Times New Roman" w:hAnsi="Times New Roman"/>
          <w:b w:val="false"/>
          <w:i w:val="false"/>
          <w:color w:val="000000"/>
          <w:sz w:val="22"/>
        </w:rPr>
        <w:t xml:space="preserve">Forms or information about the coordination of public transit services are available from the Modal Transportation Bureau, Iowa Department of Transportation, 800 Lincoln Way, Ames, Iowa 50010; telephone 515.233.7870 or on the department’s website at </w:t>
      </w:r>
      <w:hyperlink r:id="rId9">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2/23/11</w:t>
      </w:r>
      <w:r>
        <w:rPr>
          <w:rFonts w:ascii="Times New Roman" w:hAnsi="Times New Roman"/>
          <w:b w:val="false"/>
          <w:i w:val="false"/>
          <w:color w:val="000000"/>
          <w:sz w:val="16"/>
        </w:rPr>
        <w:t xml:space="preserve">; </w:t>
      </w:r>
      <w:r>
        <w:rPr>
          <w:rFonts w:ascii="Times New Roman" w:hAnsi="Times New Roman"/>
          <w:b/>
          <w:i w:val="false"/>
          <w:color w:val="000000"/>
          <w:sz w:val="16"/>
        </w:rPr>
        <w:t>ARC 3690C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761—910.3</w:t>
      </w:r>
      <w:r>
        <w:rPr>
          <w:rFonts w:ascii="Times New Roman" w:hAnsi="Times New Roman"/>
          <w:b/>
          <w:i w:val="false"/>
          <w:color w:val="000000"/>
          <w:sz w:val="22"/>
        </w:rPr>
        <w:t xml:space="preserve">(324A) </w:t>
      </w:r>
      <w:r>
        <w:rPr>
          <w:rFonts w:ascii="Times New Roman" w:hAnsi="Times New Roman"/>
          <w:b/>
          <w:i w:val="false"/>
          <w:color w:val="000000"/>
          <w:sz w:val="22"/>
        </w:rPr>
        <w:t xml:space="preserve">Statewide transportation coordination 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An advisory council shall be formed by the department to assist with implementation of the compliance reviews required by statute. The council shall assist in the review of information concerning the transportation operations of providers and advise the department as to whether the provider should be found to be in compliance with the transportation coordination mandate of Iowa Code chapter </w:t>
      </w:r>
      <w:hyperlink r:id="rId11">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910.3(2)</w:t>
      </w:r>
      <w:r>
        <w:rPr>
          <w:rFonts w:ascii="Times New Roman" w:hAnsi="Times New Roman"/>
          <w:b w:val="false"/>
          <w:i w:val="false"/>
          <w:color w:val="000000"/>
          <w:sz w:val="22"/>
        </w:rPr>
        <w:t> </w:t>
      </w:r>
      <w:r>
        <w:rPr>
          <w:rFonts w:ascii="Times New Roman" w:hAnsi="Times New Roman"/>
          <w:b w:val="false"/>
          <w:i/>
          <w:color w:val="000000"/>
          <w:sz w:val="22"/>
        </w:rPr>
        <w:t xml:space="preserve">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Membership in the council shall at minimum include one representative from the department of health and human services and one from the department. Other state agencies as well as federal agencies and statewide private agencies funding local transportation services may also be granted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director of transportation or the director’s representative shall serve as chairperson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Staff support for council activities shall be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Meetings shall be held at least once each quarter and may be held more frequently if necessary to enable the council to expeditiously discharge its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council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make recommendations to the member agencies concerning guidelines and criteria for the review process operated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the department with written recommendations for findings of compliance or noncompliance with the transportation coordination mandate of Iowa Code chapter </w:t>
      </w:r>
      <w:hyperlink r:id="rId12">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 xml:space="preserve"> for individual providers based upon review of each provider’s request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request of a member agency, review all transportation components of funding applications or plans submitted by a recipient of the member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Advise and make recommendations to the department concerning public transportation policy.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324A.4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2/23/11</w:t>
      </w:r>
      <w:r>
        <w:rPr>
          <w:rFonts w:ascii="Times New Roman" w:hAnsi="Times New Roman"/>
          <w:b w:val="false"/>
          <w:i w:val="false"/>
          <w:color w:val="000000"/>
          <w:sz w:val="16"/>
        </w:rPr>
        <w:t xml:space="preserve">; </w:t>
      </w:r>
      <w:r>
        <w:rPr>
          <w:rFonts w:ascii="Times New Roman" w:hAnsi="Times New Roman"/>
          <w:b/>
          <w:i w:val="false"/>
          <w:color w:val="000000"/>
          <w:sz w:val="16"/>
        </w:rPr>
        <w:t>ARC 3690C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761—910.4</w:t>
      </w:r>
      <w:r>
        <w:rPr>
          <w:rFonts w:ascii="Times New Roman" w:hAnsi="Times New Roman"/>
          <w:b/>
          <w:i w:val="false"/>
          <w:color w:val="000000"/>
          <w:sz w:val="22"/>
        </w:rPr>
        <w:t xml:space="preserve">(324A) </w:t>
      </w:r>
      <w:r>
        <w:rPr>
          <w:rFonts w:ascii="Times New Roman" w:hAnsi="Times New Roman"/>
          <w:b/>
          <w:i w:val="false"/>
          <w:color w:val="000000"/>
          <w:sz w:val="22"/>
        </w:rPr>
        <w:t xml:space="preserve">Certification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certification. </w:t>
      </w:r>
      <w:r>
        <w:rPr>
          <w:rFonts w:ascii="Times New Roman" w:hAnsi="Times New Roman"/>
          <w:b w:val="false"/>
          <w:i w:val="false"/>
          <w:color w:val="000000"/>
          <w:sz w:val="22"/>
        </w:rPr>
        <w:t xml:space="preserve">All providers are required to request a certification of compliance with the transportation coordination mandate of Iowa Code chapter </w:t>
      </w:r>
      <w:hyperlink r:id="rId15">
        <w:r>
          <w:rPr>
            <w:rStyle w:val="Hyperlink"/>
            <w:rFonts w:ascii="Times New Roman" w:hAnsi="Times New Roman"/>
            <w:b w:val="false"/>
            <w:i w:val="false"/>
            <w:color w:val="000000"/>
            <w:sz w:val="22"/>
          </w:rPr>
          <w:t>324A</w:t>
        </w:r>
      </w:hyperlink>
      <w:r>
        <w:rPr>
          <w:rFonts w:ascii="Times New Roman" w:hAnsi="Times New Roman"/>
          <w:b w:val="false"/>
          <w:i w:val="false"/>
          <w:color w:val="000000"/>
          <w:sz w:val="22"/>
        </w:rPr>
        <w:t xml:space="preserve"> by submitting the certification application form in the Appendix to this rule plus a copy of a certificate of insurance or documentation of self-insurance. </w:t>
      </w:r>
      <w:r>
        <w:rPr>
          <w:rFonts w:ascii="Times New Roman" w:hAnsi="Times New Roman"/>
          <w:b w:val="false"/>
          <w:i w:val="false"/>
          <w:color w:val="000000"/>
          <w:sz w:val="10"/>
        </w:rPr>
        <w:t>1</w:t>
      </w:r>
      <w:r>
        <w:rPr>
          <w:rFonts w:ascii="Times New Roman" w:hAnsi="Times New Roman"/>
          <w:b w:val="false"/>
          <w:i w:val="false"/>
          <w:color w:val="000000"/>
          <w:sz w:val="22"/>
        </w:rPr>
        <w:t>Agencies that provide a mixture of public transit service and other service shall request certification based on that part of their overall operation which is public transit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910.4(2)</w:t>
      </w:r>
      <w:r>
        <w:rPr>
          <w:rFonts w:ascii="Times New Roman" w:hAnsi="Times New Roman"/>
          <w:b w:val="false"/>
          <w:i w:val="false"/>
          <w:color w:val="000000"/>
          <w:sz w:val="22"/>
        </w:rPr>
        <w:t> </w:t>
      </w:r>
      <w:r>
        <w:rPr>
          <w:rFonts w:ascii="Times New Roman" w:hAnsi="Times New Roman"/>
          <w:b w:val="false"/>
          <w:i/>
          <w:color w:val="000000"/>
          <w:sz w:val="22"/>
        </w:rPr>
        <w:t xml:space="preserve">Form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Recipients of state or state-administered funds. </w:t>
      </w:r>
      <w:r>
        <w:rPr>
          <w:rFonts w:ascii="Times New Roman" w:hAnsi="Times New Roman"/>
          <w:b w:val="false"/>
          <w:i w:val="false"/>
          <w:color w:val="000000"/>
          <w:sz w:val="22"/>
        </w:rPr>
        <w:t>Each state agency in its own funding application or contract process shall require each recipient of funding to submit a request for certification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Recipients of other funds. </w:t>
      </w:r>
      <w:r>
        <w:rPr>
          <w:rFonts w:ascii="Times New Roman" w:hAnsi="Times New Roman"/>
          <w:b w:val="false"/>
          <w:i w:val="false"/>
          <w:color w:val="000000"/>
          <w:sz w:val="22"/>
        </w:rPr>
        <w:t>The department shall contact local governments and federal agencies to determine whether they are funding any providers that are not funded through the state. The department shall send to any providers identified in this way, or by other means, an explanation of the certification requirement and a copy of the certification request form in the Appendix.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910.4(3)</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Recipients of state funds shall submit both the certification application and the certificate of insurance forms annually to the funding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Recipients of funds from multiple sources may submit a single request form to all state funding sources if it covers all agency transportation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Providers not receiving any funds from state agencies shall return their completed forms within 20 working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Agencies or organizations that receive a form from the department and believe that none of their services fit the definition of public transit services shall respond to the department within 20 working days of receipt, stating this belief and providing a brief description of any passenger transportation service they do provide and why it should not be considered public transit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910.4(4)</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unreturned request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Forms submitted to a state funding agency as part of a funding application shall be reviewed for completeness by that agency within 10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Forms submitted directly to the department by its recipients or by providers not receiving state or state-administered funds shall be reviewed for completeness by the modal transportation bureau within 10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reviewing agency shall inform the provider in writing of any information deficiencies and allow 10 working days from receipt for submittal of missing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state agency shall report to the council each case in which a provider has failed upon notification to supply the required information within the required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completed request forms submitted to state funding agencies shall be forwarded to the council staff within five working days after verifying completeness.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910.4(5)</w:t>
      </w:r>
      <w:r>
        <w:rPr>
          <w:rFonts w:ascii="Times New Roman" w:hAnsi="Times New Roman"/>
          <w:b w:val="false"/>
          <w:i w:val="false"/>
          <w:color w:val="000000"/>
          <w:sz w:val="22"/>
        </w:rPr>
        <w:t> </w:t>
      </w:r>
      <w:r>
        <w:rPr>
          <w:rFonts w:ascii="Times New Roman" w:hAnsi="Times New Roman"/>
          <w:b w:val="false"/>
          <w:i/>
          <w:color w:val="000000"/>
          <w:sz w:val="22"/>
        </w:rPr>
        <w:t xml:space="preserve">Processing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council staff shall evaluate completed requests based on the compliance standards found in rule </w:t>
      </w:r>
      <w:hyperlink r:id="rId16">
        <w:r>
          <w:rPr>
            <w:rStyle w:val="Hyperlink"/>
            <w:rFonts w:ascii="Times New Roman" w:hAnsi="Times New Roman"/>
            <w:b w:val="false"/>
            <w:i w:val="false"/>
            <w:color w:val="000000"/>
            <w:sz w:val="22"/>
          </w:rPr>
          <w:t>910.5</w:t>
        </w:r>
      </w:hyperlink>
      <w:r>
        <w:rPr>
          <w:rFonts w:ascii="Times New Roman" w:hAnsi="Times New Roman"/>
          <w:b w:val="false"/>
          <w:i w:val="false"/>
          <w:color w:val="000000"/>
          <w:sz w:val="22"/>
        </w:rPr>
        <w:t>(324A) and make a recommendation for a finding of compliance or noncompliance to the council within 20 working days of receiving the completed request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Ten working days prior to the council’s scheduled monthly meeting, the council staff shall distribute to each council member and to the respective providers a meeting agenda and copies of all compliance finding recommendations completed since the previous agenda mailing.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their monthly meeting the council shall consider the compliance finding recommendations of the staff and may accept the staff recommendations as their recommendations to the director of transportation, change the recommendations and provide a statement of reasons, or defer action pending further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consideration of the council recommendations, the department shall make a final finding of compliance or noncompliance and notify the provider and the state funding agency, if applicable, in writing of the department’s decision within five working days after the council meeting.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324A.4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3690C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11/29/23</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 xml:space="preserve">See Appendix at end of Chapter </w:t>
      </w:r>
      <w:hyperlink r:id="rId18">
        <w:r>
          <w:rPr>
            <w:rStyle w:val="Hyperlink"/>
            <w:rFonts w:ascii="Times New Roman" w:hAnsi="Times New Roman"/>
            <w:b w:val="false"/>
            <w:i w:val="false"/>
            <w:color w:val="000000"/>
            <w:sz w:val="16"/>
          </w:rPr>
          <w:t>910</w:t>
        </w:r>
      </w:hyperlink>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761—910.5</w:t>
      </w:r>
      <w:r>
        <w:rPr>
          <w:rFonts w:ascii="Times New Roman" w:hAnsi="Times New Roman"/>
          <w:b/>
          <w:i w:val="false"/>
          <w:color w:val="000000"/>
          <w:sz w:val="22"/>
        </w:rPr>
        <w:t xml:space="preserve">(324A) </w:t>
      </w:r>
      <w:r>
        <w:rPr>
          <w:rFonts w:ascii="Times New Roman" w:hAnsi="Times New Roman"/>
          <w:b/>
          <w:i w:val="false"/>
          <w:color w:val="000000"/>
          <w:sz w:val="22"/>
        </w:rPr>
        <w:t xml:space="preserve">Standards for compliance. </w:t>
      </w:r>
      <w:r>
        <w:rPr>
          <w:rFonts w:ascii="Times New Roman" w:hAnsi="Times New Roman"/>
          <w:b w:val="false"/>
          <w:i w:val="false"/>
          <w:color w:val="000000"/>
          <w:sz w:val="22"/>
        </w:rPr>
        <w:t>A provider shall be found compliant if the provider meets both of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910.5(1)</w:t>
      </w:r>
      <w:r>
        <w:rPr>
          <w:rFonts w:ascii="Times New Roman" w:hAnsi="Times New Roman"/>
          <w:b w:val="false"/>
          <w:i w:val="false"/>
          <w:color w:val="000000"/>
          <w:sz w:val="22"/>
        </w:rPr>
        <w:t> </w:t>
      </w:r>
      <w:r>
        <w:rPr>
          <w:rFonts w:ascii="Times New Roman" w:hAnsi="Times New Roman"/>
          <w:b w:val="false"/>
          <w:i w:val="false"/>
          <w:color w:val="000000"/>
          <w:sz w:val="22"/>
        </w:rPr>
        <w:t>All vehicles used for the public transit services it provides or contracts for are insured for $1 million per accident for all hazards or the provider maintains a self-insurance fund adequate to provide equivalent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910.5(2)</w:t>
      </w:r>
      <w:r>
        <w:rPr>
          <w:rFonts w:ascii="Times New Roman" w:hAnsi="Times New Roman"/>
          <w:b w:val="false"/>
          <w:i w:val="false"/>
          <w:color w:val="000000"/>
          <w:sz w:val="22"/>
        </w:rPr>
        <w:t> </w:t>
      </w:r>
      <w:r>
        <w:rPr>
          <w:rFonts w:ascii="Times New Roman" w:hAnsi="Times New Roman"/>
          <w:b w:val="false"/>
          <w:i w:val="false"/>
          <w:color w:val="000000"/>
          <w:sz w:val="22"/>
        </w:rPr>
        <w:t>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Purchases all services from a designated public transit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Operates all services open to the public under contract with and under control of a designated transit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Purchases all services from a private-for-profit operator of public transit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Operates its own services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designated public transit system is currently unable to provide,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considered as a whole using fully allocated costs, prove to be more economical than the purchase of equivalent services from the designated public transit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Uses a combination of services in paragraphs </w:t>
      </w:r>
      <w:r>
        <w:rPr>
          <w:rFonts w:ascii="Times New Roman" w:hAnsi="Times New Roman"/>
          <w:b w:val="false"/>
          <w:i/>
          <w:color w:val="000000"/>
          <w:sz w:val="22"/>
        </w:rPr>
        <w:t>“a,” “b,” “c,”</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324A.4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3690C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761—910.6</w:t>
      </w:r>
      <w:r>
        <w:rPr>
          <w:rFonts w:ascii="Times New Roman" w:hAnsi="Times New Roman"/>
          <w:b/>
          <w:i w:val="false"/>
          <w:color w:val="000000"/>
          <w:sz w:val="22"/>
        </w:rPr>
        <w:t xml:space="preserve">(324A) </w:t>
      </w:r>
      <w:r>
        <w:rPr>
          <w:rFonts w:ascii="Times New Roman" w:hAnsi="Times New Roman"/>
          <w:b/>
          <w:i w:val="false"/>
          <w:color w:val="000000"/>
          <w:sz w:val="22"/>
        </w:rPr>
        <w:t xml:space="preserve">Noncompliance. </w:t>
      </w:r>
      <w:r>
        <w:rPr>
          <w:rFonts w:ascii="Times New Roman" w:hAnsi="Times New Roman"/>
          <w:b w:val="false"/>
          <w:i w:val="false"/>
          <w:color w:val="000000"/>
          <w:sz w:val="22"/>
        </w:rPr>
        <w:t>A provider shall be found noncompliant if: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910.6(1)</w:t>
      </w:r>
      <w:r>
        <w:rPr>
          <w:rFonts w:ascii="Times New Roman" w:hAnsi="Times New Roman"/>
          <w:b w:val="false"/>
          <w:i w:val="false"/>
          <w:color w:val="000000"/>
          <w:sz w:val="22"/>
        </w:rPr>
        <w:t> </w:t>
      </w:r>
      <w:r>
        <w:rPr>
          <w:rFonts w:ascii="Times New Roman" w:hAnsi="Times New Roman"/>
          <w:b w:val="false"/>
          <w:i w:val="false"/>
          <w:color w:val="000000"/>
          <w:sz w:val="22"/>
        </w:rPr>
        <w:t>The provider has not submitted required data upon expiration of either the original submittal deadline or the additional ten-day grace period after written notification of deficiencies in an original submittal.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910.6(2)</w:t>
      </w:r>
      <w:r>
        <w:rPr>
          <w:rFonts w:ascii="Times New Roman" w:hAnsi="Times New Roman"/>
          <w:b w:val="false"/>
          <w:i w:val="false"/>
          <w:color w:val="000000"/>
          <w:sz w:val="22"/>
        </w:rPr>
        <w:t> </w:t>
      </w:r>
      <w:r>
        <w:rPr>
          <w:rFonts w:ascii="Times New Roman" w:hAnsi="Times New Roman"/>
          <w:b w:val="false"/>
          <w:i w:val="false"/>
          <w:color w:val="000000"/>
          <w:sz w:val="22"/>
        </w:rPr>
        <w:t>The provider’s request for certification has been processed and the provider did not qualify for a finding of compliance.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324A.4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761—910.7</w:t>
      </w:r>
      <w:r>
        <w:rPr>
          <w:rFonts w:ascii="Times New Roman" w:hAnsi="Times New Roman"/>
          <w:b/>
          <w:i w:val="false"/>
          <w:color w:val="000000"/>
          <w:sz w:val="22"/>
        </w:rPr>
        <w:t xml:space="preserve">(324A) </w:t>
      </w:r>
      <w:r>
        <w:rPr>
          <w:rFonts w:ascii="Times New Roman" w:hAnsi="Times New Roman"/>
          <w:b/>
          <w:i w:val="false"/>
          <w:color w:val="000000"/>
          <w:sz w:val="22"/>
        </w:rPr>
        <w:t xml:space="preserve">Noncompliant sanctions. </w:t>
      </w:r>
      <w:r>
        <w:rPr>
          <w:rFonts w:ascii="Times New Roman" w:hAnsi="Times New Roman"/>
          <w:b w:val="false"/>
          <w:i w:val="false"/>
          <w:color w:val="000000"/>
          <w:sz w:val="22"/>
        </w:rPr>
        <w:t xml:space="preserve">A provider that is denied certification and continues the noncompliant activities for more than 30 days shall be subject to the penalties and sanctions specified in Iowa Code subsection </w:t>
      </w:r>
      <w:hyperlink r:id="rId21">
        <w:r>
          <w:rPr>
            <w:rStyle w:val="Hyperlink"/>
            <w:rFonts w:ascii="Times New Roman" w:hAnsi="Times New Roman"/>
            <w:b w:val="false"/>
            <w:i w:val="false"/>
            <w:color w:val="000000"/>
            <w:sz w:val="22"/>
          </w:rPr>
          <w:t>324A.5(3)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910.7(1)</w:t>
      </w:r>
      <w:r>
        <w:rPr>
          <w:rFonts w:ascii="Times New Roman" w:hAnsi="Times New Roman"/>
          <w:b w:val="false"/>
          <w:i w:val="false"/>
          <w:color w:val="000000"/>
          <w:sz w:val="22"/>
        </w:rPr>
        <w:t> </w:t>
      </w:r>
      <w:r>
        <w:rPr>
          <w:rFonts w:ascii="Times New Roman" w:hAnsi="Times New Roman"/>
          <w:b w:val="false"/>
          <w:i w:val="false"/>
          <w:color w:val="000000"/>
          <w:sz w:val="22"/>
        </w:rPr>
        <w:t>If the department of health and human services purchases services from the noncompliant provider, the modal transportation bureau shall notify the department of health and human services of the noncompliant finding.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noncompliant provider is a recipient of public funds from other than the department of health and human services, the department shall notify the proper authority as required in Iowa Code section </w:t>
      </w:r>
      <w:hyperlink r:id="rId22">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324A.4</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3690C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761—910.8</w:t>
      </w:r>
      <w:r>
        <w:rPr>
          <w:rFonts w:ascii="Times New Roman" w:hAnsi="Times New Roman"/>
          <w:b/>
          <w:i w:val="false"/>
          <w:color w:val="000000"/>
          <w:sz w:val="22"/>
        </w:rPr>
        <w:t xml:space="preserve">(324A) </w:t>
      </w:r>
      <w:r>
        <w:rPr>
          <w:rFonts w:ascii="Times New Roman" w:hAnsi="Times New Roman"/>
          <w:b/>
          <w:i w:val="false"/>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910.8(1)</w:t>
      </w:r>
      <w:r>
        <w:rPr>
          <w:rFonts w:ascii="Times New Roman" w:hAnsi="Times New Roman"/>
          <w:b w:val="false"/>
          <w:i w:val="false"/>
          <w:color w:val="000000"/>
          <w:sz w:val="22"/>
        </w:rPr>
        <w:t> </w:t>
      </w:r>
      <w:r>
        <w:rPr>
          <w:rFonts w:ascii="Times New Roman" w:hAnsi="Times New Roman"/>
          <w:b w:val="false"/>
          <w:i w:val="false"/>
          <w:color w:val="000000"/>
          <w:sz w:val="22"/>
        </w:rPr>
        <w:t>If certification is revoked, the department shall send a written notice of revocation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910.8(2)</w:t>
      </w:r>
      <w:r>
        <w:rPr>
          <w:rFonts w:ascii="Times New Roman" w:hAnsi="Times New Roman"/>
          <w:b w:val="false"/>
          <w:i w:val="false"/>
          <w:color w:val="000000"/>
          <w:sz w:val="22"/>
        </w:rPr>
        <w:t> </w:t>
      </w:r>
      <w:r>
        <w:rPr>
          <w:rFonts w:ascii="Times New Roman" w:hAnsi="Times New Roman"/>
          <w:b w:val="false"/>
          <w:i w:val="false"/>
          <w:color w:val="000000"/>
          <w:sz w:val="22"/>
        </w:rPr>
        <w:t>The affected public transit system, the provider and the department shall meet within 10 days after the date of the revocation notice to determine an acceptable amendment of the transportation services. The amendments which are agreed upon shall become effective within 60 days. The contract between the provider and the affected public transit system shall be amended, if necessary, to agree with the service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transportation services are not amended in a timely manner, the department shall initiate actions as required in Iowa Code section </w:t>
      </w:r>
      <w:hyperlink r:id="rId25">
        <w:r>
          <w:rPr>
            <w:rStyle w:val="Hyperlink"/>
            <w:rFonts w:ascii="Times New Roman" w:hAnsi="Times New Roman"/>
            <w:b w:val="false"/>
            <w:i w:val="false"/>
            <w:color w:val="000000"/>
            <w:sz w:val="22"/>
          </w:rPr>
          <w:t>324A.5(2)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324A.5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3690C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center"/>
      </w:pPr>
      <w:r>
        <w:rPr>
          <w:rFonts w:ascii="Arial" w:hAnsi="Arial"/>
          <w:b w:val="false"/>
          <w:i w:val="false"/>
          <w:color w:val="000000"/>
          <w:sz w:val="14"/>
        </w:rPr>
        <w:t>Appendix to rule 761—910.4(324A)</w:t>
      </w:r>
    </w:p>
    <w:p>
      <w:pPr>
        <w:spacing w:before="0" w:after="0"/>
        <w:ind w:left="120"/>
        <w:jc w:val="both"/>
      </w:pPr>
      <w:r>
        <w:rPr>
          <w:rFonts w:ascii="Arial" w:hAnsi="Arial"/>
          <w:b w:val="false"/>
          <w:i w:val="false"/>
          <w:color w:val="000000"/>
          <w:sz w:val="14"/>
        </w:rPr>
        <w:t xml:space="preserve"> Date </w:t>
      </w:r>
    </w:p>
    <w:p>
      <w:pPr>
        <w:spacing w:before="0" w:after="0"/>
        <w:ind w:left="120"/>
        <w:jc w:val="both"/>
      </w:pPr>
      <w:r>
        <w:rPr>
          <w:rFonts w:ascii="Arial" w:hAnsi="Arial"/>
          <w:b w:val="false"/>
          <w:i w:val="false"/>
          <w:color w:val="000000"/>
          <w:sz w:val="14"/>
        </w:rPr>
        <w:t xml:space="preserve"> FY </w:t>
      </w:r>
    </w:p>
    <w:p>
      <w:pPr>
        <w:spacing w:before="0" w:after="0"/>
        <w:ind w:left="120"/>
        <w:jc w:val="both"/>
      </w:pPr>
    </w:p>
    <w:p>
      <w:pPr>
        <w:spacing w:before="0" w:after="0"/>
        <w:ind w:left="120"/>
        <w:jc w:val="both"/>
      </w:pPr>
      <w:r>
        <w:rPr>
          <w:rFonts w:ascii="Arial" w:hAnsi="Arial"/>
          <w:b/>
          <w:i w:val="false"/>
          <w:color w:val="000000"/>
          <w:sz w:val="14"/>
        </w:rPr>
        <w:t>CERTIFICATION APPLICATION</w:t>
      </w:r>
    </w:p>
    <w:p>
      <w:pPr>
        <w:spacing w:before="0" w:after="0"/>
        <w:ind w:left="120"/>
        <w:jc w:val="both"/>
      </w:pPr>
      <w:r>
        <w:rPr>
          <w:rFonts w:ascii="Arial" w:hAnsi="Arial"/>
          <w:b w:val="false"/>
          <w:i w:val="false"/>
          <w:color w:val="000000"/>
          <w:sz w:val="14"/>
        </w:rPr>
        <w:t xml:space="preserve">State/Federal Administering Agency </w:t>
      </w:r>
    </w:p>
    <w:p>
      <w:pPr>
        <w:spacing w:before="0" w:after="0"/>
        <w:ind w:left="120"/>
        <w:jc w:val="both"/>
      </w:pPr>
      <w:r>
        <w:rPr>
          <w:rFonts w:ascii="Arial" w:hAnsi="Arial"/>
          <w:b/>
          <w:i w:val="false"/>
          <w:color w:val="000000"/>
          <w:sz w:val="14"/>
        </w:rPr>
        <w:t>I. GENERAL INFORMATION:</w:t>
      </w:r>
    </w:p>
    <w:p>
      <w:pPr>
        <w:spacing w:before="0" w:after="0"/>
        <w:ind w:left="120"/>
        <w:jc w:val="both"/>
      </w:pPr>
      <w:r>
        <w:rPr>
          <w:rFonts w:ascii="Arial" w:hAnsi="Arial"/>
          <w:b w:val="false"/>
          <w:i w:val="false"/>
          <w:color w:val="000000"/>
          <w:sz w:val="14"/>
        </w:rPr>
        <w:t>Agency Name:</w:t>
      </w:r>
    </w:p>
    <w:p>
      <w:pPr>
        <w:spacing w:before="0" w:after="0"/>
        <w:ind w:left="120"/>
        <w:jc w:val="both"/>
      </w:pPr>
      <w:r>
        <w:rPr>
          <w:rFonts w:ascii="Arial" w:hAnsi="Arial"/>
          <w:b w:val="false"/>
          <w:i w:val="false"/>
          <w:color w:val="000000"/>
          <w:sz w:val="14"/>
        </w:rPr>
        <w:t>Address:</w:t>
      </w:r>
    </w:p>
    <w:p>
      <w:pPr>
        <w:spacing w:before="0" w:after="0"/>
        <w:ind w:left="120"/>
        <w:jc w:val="both"/>
      </w:pPr>
    </w:p>
    <w:p>
      <w:pPr>
        <w:spacing w:before="0" w:after="0"/>
        <w:ind w:left="120"/>
        <w:jc w:val="both"/>
      </w:pPr>
      <w:r>
        <w:rPr>
          <w:rFonts w:ascii="Arial" w:hAnsi="Arial"/>
          <w:b w:val="false"/>
          <w:i w:val="false"/>
          <w:color w:val="000000"/>
          <w:sz w:val="14"/>
        </w:rPr>
        <w:t>Contact Person:______________________________Phone:(______)________________________</w:t>
      </w:r>
    </w:p>
    <w:p>
      <w:pPr>
        <w:spacing w:before="0" w:after="0"/>
        <w:ind w:left="120"/>
        <w:jc w:val="both"/>
      </w:pPr>
      <w:r>
        <w:rPr>
          <w:rFonts w:ascii="Arial" w:hAnsi="Arial"/>
          <w:b w:val="false"/>
          <w:i w:val="false"/>
          <w:color w:val="000000"/>
          <w:sz w:val="14"/>
        </w:rPr>
        <w:t>Service Area (counties):</w:t>
      </w:r>
    </w:p>
    <w:p>
      <w:pPr>
        <w:spacing w:before="0" w:after="0"/>
        <w:ind w:left="120"/>
        <w:jc w:val="both"/>
      </w:pPr>
      <w:r>
        <w:rPr>
          <w:rFonts w:ascii="Arial" w:hAnsi="Arial"/>
          <w:b w:val="false"/>
          <w:i w:val="false"/>
          <w:color w:val="000000"/>
          <w:sz w:val="14"/>
        </w:rPr>
        <w:t>Types of Clients:</w:t>
      </w:r>
    </w:p>
    <w:p>
      <w:pPr>
        <w:spacing w:before="0" w:after="0"/>
        <w:ind w:left="120"/>
        <w:jc w:val="both"/>
      </w:pPr>
      <w:r>
        <w:rPr>
          <w:rFonts w:ascii="Arial" w:hAnsi="Arial"/>
          <w:b w:val="false"/>
          <w:i w:val="false"/>
          <w:color w:val="000000"/>
          <w:sz w:val="14"/>
        </w:rPr>
        <w:t>Types of Services:</w:t>
      </w:r>
    </w:p>
    <w:p>
      <w:pPr>
        <w:spacing w:before="0" w:after="0"/>
        <w:ind w:left="120"/>
        <w:jc w:val="both"/>
      </w:pPr>
    </w:p>
    <w:p>
      <w:pPr>
        <w:spacing w:before="0" w:after="0"/>
        <w:ind w:left="120"/>
        <w:jc w:val="both"/>
      </w:pPr>
      <w:r>
        <w:rPr>
          <w:rFonts w:ascii="Arial" w:hAnsi="Arial"/>
          <w:b w:val="false"/>
          <w:i w:val="false"/>
          <w:color w:val="000000"/>
          <w:sz w:val="14"/>
        </w:rPr>
        <w:t>Does agency provide transportation services? Yes ______ No ______</w:t>
      </w:r>
    </w:p>
    <w:p>
      <w:pPr>
        <w:spacing w:before="0" w:after="0"/>
        <w:ind w:left="120"/>
        <w:jc w:val="both"/>
      </w:pPr>
      <w:r>
        <w:rPr>
          <w:rFonts w:ascii="Arial" w:hAnsi="Arial"/>
          <w:b w:val="false"/>
          <w:i w:val="false"/>
          <w:color w:val="000000"/>
          <w:sz w:val="14"/>
        </w:rPr>
        <w:t>Does agency use public funds for transportation? Yes ______ No ______</w:t>
      </w:r>
    </w:p>
    <w:p>
      <w:pPr>
        <w:spacing w:before="0" w:after="0"/>
        <w:ind w:left="120"/>
        <w:jc w:val="both"/>
      </w:pPr>
      <w:r>
        <w:rPr>
          <w:rFonts w:ascii="Arial" w:hAnsi="Arial"/>
          <w:b/>
          <w:i w:val="false"/>
          <w:color w:val="000000"/>
          <w:sz w:val="14"/>
        </w:rPr>
        <w:t>II. TRANSPORTATION ACTIVITIES:</w:t>
      </w:r>
    </w:p>
    <w:p>
      <w:pPr>
        <w:spacing w:before="0" w:after="0"/>
        <w:ind w:left="120"/>
        <w:jc w:val="both"/>
      </w:pPr>
      <w:r>
        <w:rPr>
          <w:rFonts w:ascii="Arial" w:hAnsi="Arial"/>
          <w:b w:val="false"/>
          <w:i w:val="false"/>
          <w:color w:val="000000"/>
          <w:sz w:val="14"/>
        </w:rPr>
        <w:t>Population groups served: Elderly ______ Youth Economically Deprived ______ Public ______</w:t>
      </w:r>
    </w:p>
    <w:p>
      <w:pPr>
        <w:spacing w:before="0" w:after="0"/>
        <w:ind w:left="120"/>
        <w:jc w:val="both"/>
      </w:pPr>
      <w:r>
        <w:rPr>
          <w:rFonts w:ascii="Arial" w:hAnsi="Arial"/>
          <w:b w:val="false"/>
          <w:i w:val="false"/>
          <w:color w:val="000000"/>
          <w:sz w:val="14"/>
        </w:rPr>
        <w:t>Persons with physical disabilities ______ Persons with mental disabilities ______ Other _______</w:t>
      </w:r>
    </w:p>
    <w:p>
      <w:pPr>
        <w:spacing w:before="0" w:after="0"/>
        <w:ind w:left="120"/>
        <w:jc w:val="both"/>
      </w:pPr>
      <w:r>
        <w:rPr>
          <w:rFonts w:ascii="Arial" w:hAnsi="Arial"/>
          <w:b w:val="false"/>
          <w:i w:val="false"/>
          <w:color w:val="000000"/>
          <w:sz w:val="14"/>
        </w:rPr>
        <w:t>Describe others:</w:t>
      </w:r>
    </w:p>
    <w:p>
      <w:pPr>
        <w:spacing w:before="0" w:after="0"/>
        <w:ind w:left="120"/>
        <w:jc w:val="both"/>
      </w:pPr>
    </w:p>
    <w:p>
      <w:pPr>
        <w:spacing w:before="0" w:after="0"/>
        <w:ind w:left="120"/>
        <w:jc w:val="both"/>
      </w:pPr>
      <w:r>
        <w:rPr>
          <w:rFonts w:ascii="Arial" w:hAnsi="Arial"/>
          <w:b w:val="false"/>
          <w:i w:val="false"/>
          <w:color w:val="000000"/>
          <w:sz w:val="14"/>
        </w:rPr>
        <w:t>Services Accessed: Medical ______ Day Care ______ Shopping ______ Nutrition ______ Employment ______</w:t>
      </w:r>
    </w:p>
    <w:p>
      <w:pPr>
        <w:spacing w:before="0" w:after="0"/>
        <w:ind w:left="120"/>
        <w:jc w:val="both"/>
      </w:pPr>
      <w:r>
        <w:rPr>
          <w:rFonts w:ascii="Arial" w:hAnsi="Arial"/>
          <w:b w:val="false"/>
          <w:i w:val="false"/>
          <w:color w:val="000000"/>
          <w:sz w:val="14"/>
        </w:rPr>
        <w:t>Recreation ______ Education/training ______ Other social services</w:t>
      </w:r>
    </w:p>
    <w:p>
      <w:pPr>
        <w:spacing w:before="0" w:after="0"/>
        <w:ind w:left="120"/>
        <w:jc w:val="both"/>
      </w:pPr>
      <w:r>
        <w:rPr>
          <w:rFonts w:ascii="Arial" w:hAnsi="Arial"/>
          <w:b w:val="false"/>
          <w:i w:val="false"/>
          <w:color w:val="000000"/>
          <w:sz w:val="14"/>
        </w:rPr>
        <w:t>What percent of your transportation service (in terms of miles driven) is operated during the following time periods?</w:t>
      </w:r>
    </w:p>
    <w:p>
      <w:pPr>
        <w:spacing w:before="0" w:after="0"/>
        <w:ind w:left="120"/>
        <w:jc w:val="center"/>
      </w:pPr>
      <w:r>
        <w:rPr>
          <w:rFonts w:ascii="Arial" w:hAnsi="Arial"/>
          <w:b w:val="false"/>
          <w:i w:val="false"/>
          <w:color w:val="000000"/>
          <w:sz w:val="14"/>
        </w:rPr>
        <w:t>______ % weekdays + ______ % evenings + ______ % weekends = 100%</w:t>
      </w:r>
    </w:p>
    <w:p>
      <w:pPr>
        <w:spacing w:before="0" w:after="0"/>
        <w:ind w:left="120"/>
        <w:jc w:val="both"/>
      </w:pPr>
      <w:r>
        <w:rPr>
          <w:rFonts w:ascii="Arial" w:hAnsi="Arial"/>
          <w:b w:val="false"/>
          <w:i w:val="false"/>
          <w:color w:val="000000"/>
          <w:sz w:val="14"/>
        </w:rPr>
        <w:t>Is any part of agency’s transportation purchased from an urban or regional transit system?</w:t>
      </w:r>
    </w:p>
    <w:p>
      <w:pPr>
        <w:spacing w:before="0" w:after="0"/>
        <w:ind w:left="120"/>
        <w:jc w:val="both"/>
      </w:pPr>
      <w:r>
        <w:rPr>
          <w:rFonts w:ascii="Arial" w:hAnsi="Arial"/>
          <w:b w:val="false"/>
          <w:i w:val="false"/>
          <w:color w:val="000000"/>
          <w:sz w:val="14"/>
        </w:rPr>
        <w:t>Yes ______ No ______ If yes, please indicate system:</w:t>
      </w:r>
    </w:p>
    <w:p>
      <w:pPr>
        <w:spacing w:before="0" w:after="0"/>
        <w:ind w:left="120"/>
        <w:jc w:val="both"/>
      </w:pPr>
    </w:p>
    <w:p>
      <w:pPr>
        <w:pageBreakBefore/>
        <w:spacing w:before="0" w:after="0"/>
        <w:ind w:left="120"/>
        <w:jc w:val="left"/>
      </w:pPr>
    </w:p>
    <w:p>
      <w:pPr>
        <w:spacing w:before="0" w:after="0"/>
        <w:ind w:left="120"/>
        <w:jc w:val="both"/>
      </w:pPr>
      <w:r>
        <w:rPr>
          <w:rFonts w:ascii="Arial" w:hAnsi="Arial"/>
          <w:b/>
          <w:i w:val="false"/>
          <w:color w:val="000000"/>
          <w:sz w:val="14"/>
        </w:rPr>
        <w:t>III. AGENCY OPERATED VEHICLE FLEET:</w:t>
      </w:r>
    </w:p>
    <w:p>
      <w:pPr>
        <w:spacing w:before="0" w:after="0"/>
        <w:ind w:left="120"/>
        <w:jc w:val="both"/>
      </w:pPr>
    </w:p>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1566"/>
        <w:gridCol w:w="1604"/>
        <w:gridCol w:w="1604"/>
        <w:gridCol w:w="1604"/>
        <w:gridCol w:w="1604"/>
        <w:gridCol w:w="1604"/>
        <w:gridCol w:w="1604"/>
      </w:tblGrid>
      <w:tr>
        <w:trPr>
          <w:trHeight w:val="54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Year/</w:t>
            </w:r>
          </w:p>
          <w:p>
            <w:pPr>
              <w:spacing w:before="0" w:after="0"/>
              <w:ind w:left="160"/>
              <w:jc w:val="left"/>
            </w:pPr>
            <w:r>
              <w:rPr>
                <w:rFonts w:ascii="Arial" w:hAnsi="Arial"/>
                <w:b w:val="false"/>
                <w:i w:val="false"/>
                <w:color w:val="000000"/>
                <w:sz w:val="14"/>
              </w:rPr>
              <w:t>Model</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Seats/</w:t>
            </w:r>
          </w:p>
          <w:p>
            <w:pPr>
              <w:spacing w:before="0" w:after="0"/>
              <w:ind w:left="160"/>
              <w:jc w:val="left"/>
            </w:pPr>
            <w:r>
              <w:rPr>
                <w:rFonts w:ascii="Arial" w:hAnsi="Arial"/>
                <w:b w:val="false"/>
                <w:i w:val="false"/>
                <w:color w:val="000000"/>
                <w:sz w:val="14"/>
              </w:rPr>
              <w:t>Wheelchairs</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Special Equipment*</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 Used for</w:t>
            </w:r>
          </w:p>
          <w:p>
            <w:pPr>
              <w:spacing w:before="0" w:after="0"/>
              <w:ind w:left="160"/>
              <w:jc w:val="left"/>
            </w:pPr>
            <w:r>
              <w:rPr>
                <w:rFonts w:ascii="Arial" w:hAnsi="Arial"/>
                <w:b w:val="false"/>
                <w:i w:val="false"/>
                <w:color w:val="000000"/>
                <w:sz w:val="14"/>
              </w:rPr>
              <w:t>Passengers</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Average Monthly</w:t>
            </w:r>
          </w:p>
          <w:p>
            <w:pPr>
              <w:spacing w:before="0" w:after="0"/>
              <w:ind w:left="160"/>
              <w:jc w:val="left"/>
            </w:pPr>
            <w:r>
              <w:rPr>
                <w:rFonts w:ascii="Arial" w:hAnsi="Arial"/>
                <w:b w:val="false"/>
                <w:i w:val="false"/>
                <w:color w:val="000000"/>
                <w:sz w:val="14"/>
              </w:rPr>
              <w:t>Ridership</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Average</w:t>
            </w:r>
          </w:p>
          <w:p>
            <w:pPr>
              <w:spacing w:before="0" w:after="0"/>
              <w:ind w:left="160"/>
              <w:jc w:val="left"/>
            </w:pPr>
            <w:r>
              <w:rPr>
                <w:rFonts w:ascii="Arial" w:hAnsi="Arial"/>
                <w:b w:val="false"/>
                <w:i w:val="false"/>
                <w:color w:val="000000"/>
                <w:sz w:val="14"/>
              </w:rPr>
              <w:t xml:space="preserve">Monthly </w:t>
            </w:r>
          </w:p>
          <w:p>
            <w:pPr>
              <w:spacing w:before="0" w:after="0"/>
              <w:ind w:left="160"/>
              <w:jc w:val="left"/>
            </w:pPr>
            <w:r>
              <w:rPr>
                <w:rFonts w:ascii="Arial" w:hAnsi="Arial"/>
                <w:b w:val="false"/>
                <w:i w:val="false"/>
                <w:color w:val="000000"/>
                <w:sz w:val="14"/>
              </w:rPr>
              <w:t>Vehicle Miles</w:t>
            </w:r>
          </w:p>
        </w:tc>
        <w:tc>
          <w:tcPr>
            <w:tcW w:w="1604" w:type="dxa"/>
            <w:tcBorders>
              <w:bottom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Owned/</w:t>
            </w:r>
          </w:p>
          <w:p>
            <w:pPr>
              <w:spacing w:before="0" w:after="0"/>
              <w:ind w:left="160"/>
              <w:jc w:val="left"/>
            </w:pPr>
            <w:r>
              <w:rPr>
                <w:rFonts w:ascii="Arial" w:hAnsi="Arial"/>
                <w:b w:val="false"/>
                <w:i w:val="false"/>
                <w:color w:val="000000"/>
                <w:sz w:val="14"/>
              </w:rPr>
              <w:t>Leased</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10" w:hRule="atLeast"/>
        </w:trPr>
        <w:tc>
          <w:tcPr>
            <w:tcW w:w="15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225" w:hRule="atLeast"/>
        </w:trPr>
        <w:tc>
          <w:tcPr>
            <w:tcW w:w="156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both"/>
      </w:pPr>
      <w:r>
        <w:rPr>
          <w:rFonts w:ascii="Arial" w:hAnsi="Arial"/>
          <w:b w:val="false"/>
          <w:i w:val="false"/>
          <w:color w:val="000000"/>
          <w:sz w:val="14"/>
        </w:rPr>
        <w:t>* Two-way radio, wheelchair lift, ramp, etc.</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Arial" w:hAnsi="Arial"/>
          <w:b/>
          <w:i w:val="false"/>
          <w:color w:val="000000"/>
          <w:sz w:val="14"/>
        </w:rPr>
        <w:t xml:space="preserve">IV. FUNDING SOURCES USED FOR SUPPORT OF TRANSPORTATION: </w:t>
      </w:r>
      <w:r>
        <w:rPr>
          <w:rFonts w:ascii="Arial" w:hAnsi="Arial"/>
          <w:b/>
          <w:i w:val="false"/>
          <w:color w:val="000000"/>
          <w:sz w:val="14"/>
        </w:rPr>
        <w:t>Total $ ____________</w:t>
      </w:r>
    </w:p>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2166"/>
        <w:gridCol w:w="2256"/>
        <w:gridCol w:w="2256"/>
        <w:gridCol w:w="2256"/>
        <w:gridCol w:w="2256"/>
      </w:tblGrid>
      <w:tr>
        <w:trPr>
          <w:trHeight w:val="225"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Source</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Federal</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State</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Local</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Annual Total</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1.</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2.</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3.</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4.</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5.</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16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6.</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5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25" w:hRule="atLeast"/>
        </w:trPr>
        <w:tc>
          <w:tcPr>
            <w:tcW w:w="2166"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Total</w:t>
            </w:r>
          </w:p>
        </w:tc>
        <w:tc>
          <w:tcPr>
            <w:tcW w:w="2256"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w:t>
            </w:r>
          </w:p>
        </w:tc>
        <w:tc>
          <w:tcPr>
            <w:tcW w:w="2256"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w:t>
            </w:r>
          </w:p>
        </w:tc>
        <w:tc>
          <w:tcPr>
            <w:tcW w:w="2256"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w:t>
            </w:r>
          </w:p>
        </w:tc>
        <w:tc>
          <w:tcPr>
            <w:tcW w:w="2256"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bl>
    <w:p>
      <w:pPr>
        <w:pageBreakBefore/>
        <w:spacing w:before="0" w:after="0"/>
        <w:ind w:left="120"/>
        <w:jc w:val="left"/>
      </w:pPr>
    </w:p>
    <w:p>
      <w:pPr>
        <w:spacing w:before="0" w:after="0"/>
        <w:ind w:left="120"/>
        <w:jc w:val="both"/>
      </w:pPr>
      <w:r>
        <w:rPr>
          <w:rFonts w:ascii="Arial" w:hAnsi="Arial"/>
          <w:b/>
          <w:i w:val="false"/>
          <w:color w:val="000000"/>
          <w:sz w:val="14"/>
        </w:rPr>
        <w:t xml:space="preserve">V. PURCHASE OF SERVICE (Contracts and Vendor Agreements): </w:t>
      </w:r>
      <w:r>
        <w:rPr>
          <w:rFonts w:ascii="Arial" w:hAnsi="Arial"/>
          <w:b/>
          <w:i w:val="false"/>
          <w:color w:val="000000"/>
          <w:sz w:val="14"/>
        </w:rPr>
        <w:t>Total $ ____________</w:t>
      </w:r>
    </w:p>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2770"/>
        <w:gridCol w:w="2808"/>
        <w:gridCol w:w="2804"/>
        <w:gridCol w:w="2807"/>
      </w:tblGrid>
      <w:tr>
        <w:trPr>
          <w:trHeight w:val="375" w:hRule="atLeast"/>
        </w:trPr>
        <w:tc>
          <w:tcPr>
            <w:tcW w:w="2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Average Monthly</w:t>
            </w:r>
          </w:p>
          <w:p>
            <w:pPr>
              <w:spacing w:before="0" w:after="0"/>
              <w:ind w:left="160"/>
              <w:jc w:val="left"/>
            </w:pPr>
            <w:r>
              <w:rPr>
                <w:rFonts w:ascii="Arial" w:hAnsi="Arial"/>
                <w:b w:val="false"/>
                <w:i w:val="false"/>
                <w:color w:val="000000"/>
                <w:sz w:val="14"/>
              </w:rPr>
              <w:t>Ridership</w:t>
            </w:r>
          </w:p>
        </w:tc>
        <w:tc>
          <w:tcPr>
            <w:tcW w:w="280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Average Monthly</w:t>
            </w:r>
          </w:p>
          <w:p>
            <w:pPr>
              <w:spacing w:before="0" w:after="0"/>
              <w:ind w:left="160"/>
              <w:jc w:val="left"/>
            </w:pPr>
            <w:r>
              <w:rPr>
                <w:rFonts w:ascii="Arial" w:hAnsi="Arial"/>
                <w:b w:val="false"/>
                <w:i w:val="false"/>
                <w:color w:val="000000"/>
                <w:sz w:val="14"/>
              </w:rPr>
              <w:t>Vehicle Miles</w:t>
            </w:r>
          </w:p>
        </w:tc>
        <w:tc>
          <w:tcPr>
            <w:tcW w:w="2807" w:type="dxa"/>
            <w:tcBorders>
              <w:bottom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Projected Annual</w:t>
            </w:r>
          </w:p>
          <w:p>
            <w:pPr>
              <w:spacing w:before="0" w:after="0"/>
              <w:ind w:left="160"/>
              <w:jc w:val="left"/>
            </w:pPr>
            <w:r>
              <w:rPr>
                <w:rFonts w:ascii="Arial" w:hAnsi="Arial"/>
                <w:b w:val="false"/>
                <w:i w:val="false"/>
                <w:color w:val="000000"/>
                <w:sz w:val="14"/>
              </w:rPr>
              <w:t>Expenditures</w:t>
            </w:r>
          </w:p>
        </w:tc>
      </w:tr>
      <w:tr>
        <w:trPr>
          <w:trHeight w:val="210" w:hRule="atLeast"/>
        </w:trPr>
        <w:tc>
          <w:tcPr>
            <w:tcW w:w="2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Taxi</w:t>
            </w:r>
          </w:p>
        </w:tc>
        <w:tc>
          <w:tcPr>
            <w:tcW w:w="28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Intracity bus</w:t>
            </w:r>
          </w:p>
        </w:tc>
        <w:tc>
          <w:tcPr>
            <w:tcW w:w="28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360" w:hRule="atLeast"/>
        </w:trPr>
        <w:tc>
          <w:tcPr>
            <w:tcW w:w="277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Regional/Urban</w:t>
            </w:r>
          </w:p>
          <w:p>
            <w:pPr>
              <w:spacing w:before="0" w:after="0"/>
              <w:ind w:left="160"/>
              <w:jc w:val="left"/>
            </w:pPr>
            <w:r>
              <w:rPr>
                <w:rFonts w:ascii="Arial" w:hAnsi="Arial"/>
                <w:b w:val="false"/>
                <w:i w:val="false"/>
                <w:color w:val="000000"/>
                <w:sz w:val="14"/>
              </w:rPr>
              <w:t>Transit System</w:t>
            </w:r>
          </w:p>
        </w:tc>
        <w:tc>
          <w:tcPr>
            <w:tcW w:w="28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7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Other - specify</w:t>
            </w:r>
          </w:p>
        </w:tc>
        <w:tc>
          <w:tcPr>
            <w:tcW w:w="28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807"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25" w:hRule="atLeast"/>
        </w:trPr>
        <w:tc>
          <w:tcPr>
            <w:tcW w:w="2770"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Total</w:t>
            </w:r>
          </w:p>
        </w:tc>
        <w:tc>
          <w:tcPr>
            <w:tcW w:w="2808"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4"/>
              </w:rPr>
              <w:t>----------</w:t>
            </w:r>
          </w:p>
        </w:tc>
        <w:tc>
          <w:tcPr>
            <w:tcW w:w="2804"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4"/>
              </w:rPr>
              <w:t>----------</w:t>
            </w:r>
          </w:p>
        </w:tc>
        <w:tc>
          <w:tcPr>
            <w:tcW w:w="2807"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bl>
    <w:p>
      <w:pPr>
        <w:spacing w:before="0" w:after="0"/>
        <w:ind w:left="120"/>
        <w:jc w:val="both"/>
      </w:pPr>
      <w:r>
        <w:rPr>
          <w:rFonts w:ascii="Arial" w:hAnsi="Arial"/>
          <w:b/>
          <w:i w:val="false"/>
          <w:color w:val="000000"/>
          <w:sz w:val="14"/>
        </w:rPr>
        <w:t xml:space="preserve">VI. OPERATION OF OWN TRANSPORTATION SERVICE: </w:t>
      </w:r>
      <w:r>
        <w:rPr>
          <w:rFonts w:ascii="Arial" w:hAnsi="Arial"/>
          <w:b/>
          <w:i w:val="false"/>
          <w:color w:val="000000"/>
          <w:sz w:val="14"/>
        </w:rPr>
        <w:t>Total $ ____________</w:t>
      </w:r>
    </w:p>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2737"/>
        <w:gridCol w:w="2771"/>
        <w:gridCol w:w="2772"/>
        <w:gridCol w:w="2909"/>
      </w:tblGrid>
      <w:tr>
        <w:trPr>
          <w:trHeight w:val="375"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STAFF</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Number</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 of Time</w:t>
            </w:r>
          </w:p>
        </w:tc>
        <w:tc>
          <w:tcPr>
            <w:tcW w:w="2909" w:type="dxa"/>
            <w:tcBorders>
              <w:bottom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Projected Annual</w:t>
            </w:r>
          </w:p>
          <w:p>
            <w:pPr>
              <w:spacing w:before="0" w:after="0"/>
              <w:ind w:left="160"/>
              <w:jc w:val="left"/>
            </w:pPr>
            <w:r>
              <w:rPr>
                <w:rFonts w:ascii="Arial" w:hAnsi="Arial"/>
                <w:b w:val="false"/>
                <w:i w:val="false"/>
                <w:color w:val="000000"/>
                <w:sz w:val="14"/>
              </w:rPr>
              <w:t>Expenditures</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Administrative</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Drivers</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Maintenance</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Professional</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Escorts</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36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 xml:space="preserve">Volunteers </w:t>
            </w:r>
          </w:p>
          <w:p>
            <w:pPr>
              <w:spacing w:before="0" w:after="0"/>
              <w:ind w:left="160"/>
              <w:jc w:val="left"/>
            </w:pPr>
            <w:r>
              <w:rPr>
                <w:rFonts w:ascii="Arial" w:hAnsi="Arial"/>
                <w:b w:val="false"/>
                <w:i w:val="false"/>
                <w:color w:val="000000"/>
                <w:sz w:val="14"/>
              </w:rPr>
              <w:t>reimbursement</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     /mile</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273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Other - specify</w:t>
            </w:r>
          </w:p>
        </w:tc>
        <w:tc>
          <w:tcPr>
            <w:tcW w:w="27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77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909"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25" w:hRule="atLeast"/>
        </w:trPr>
        <w:tc>
          <w:tcPr>
            <w:tcW w:w="2737"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Subtotal</w:t>
            </w:r>
          </w:p>
        </w:tc>
        <w:tc>
          <w:tcPr>
            <w:tcW w:w="2771"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4"/>
              </w:rPr>
              <w:t>----------</w:t>
            </w:r>
          </w:p>
        </w:tc>
        <w:tc>
          <w:tcPr>
            <w:tcW w:w="2772"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4"/>
              </w:rPr>
              <w:t>----------</w:t>
            </w:r>
          </w:p>
        </w:tc>
        <w:tc>
          <w:tcPr>
            <w:tcW w:w="2909"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bl>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6843"/>
        <w:gridCol w:w="4346"/>
      </w:tblGrid>
      <w:tr>
        <w:trPr>
          <w:trHeight w:val="225"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VEHICLE OPERATING COSTS</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Projected Annual Expenditures</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Fuel and oil</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Maintenance and repair</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Insurance</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Licenses and fees</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Staff mileage reimbursement $     /mile</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Indirect cost or overhead</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68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Other - specify</w:t>
            </w:r>
          </w:p>
        </w:tc>
        <w:tc>
          <w:tcPr>
            <w:tcW w:w="4346"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25" w:hRule="atLeast"/>
        </w:trPr>
        <w:tc>
          <w:tcPr>
            <w:tcW w:w="6843"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Subtotal</w:t>
            </w:r>
          </w:p>
        </w:tc>
        <w:tc>
          <w:tcPr>
            <w:tcW w:w="4346"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bl>
    <w:p>
      <w:pPr>
        <w:spacing w:before="0" w:after="0"/>
        <w:ind w:left="120"/>
        <w:jc w:val="both"/>
      </w:pPr>
      <w:r>
        <w:rPr>
          <w:rFonts w:ascii="Arial" w:hAnsi="Arial"/>
          <w:b/>
          <w:i w:val="false"/>
          <w:color w:val="000000"/>
          <w:sz w:val="14"/>
        </w:rPr>
        <w:t>PURCHASE OR LEASE OF VEHICLES AND SPECIAL EQUIPMENT</w:t>
      </w:r>
    </w:p>
    <w:tbl>
      <w:tblPr>
        <w:tblW w:w="5000" w:type="pct"/>
        <w:tblCellSpacing w:w="0" w:type="auto"/>
        <w:tblInd w:w="115" w:type="dxa"/>
        <w:tblBorders>
          <w:top w:val="double" w:color="000000" w:sz="8"/>
          <w:left w:val="double" w:color="000000" w:sz="8"/>
          <w:bottom w:val="double" w:color="000000" w:sz="8"/>
          <w:right w:val="double" w:color="000000" w:sz="8"/>
          <w:insideH w:val="none"/>
          <w:insideV w:val="none"/>
        </w:tblBorders>
        <w:tblLayout w:type="fixed"/>
      </w:tblPr>
      <w:tblGrid>
        <w:gridCol w:w="1596"/>
        <w:gridCol w:w="1596"/>
        <w:gridCol w:w="1596"/>
        <w:gridCol w:w="1615"/>
        <w:gridCol w:w="1596"/>
        <w:gridCol w:w="1595"/>
        <w:gridCol w:w="1595"/>
      </w:tblGrid>
      <w:tr>
        <w:trPr>
          <w:trHeight w:val="375" w:hRule="atLeast"/>
        </w:trPr>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Vehicle</w:t>
            </w:r>
          </w:p>
          <w:p>
            <w:pPr>
              <w:spacing w:before="0" w:after="0"/>
              <w:ind w:left="160"/>
              <w:jc w:val="left"/>
            </w:pPr>
            <w:r>
              <w:rPr>
                <w:rFonts w:ascii="Arial" w:hAnsi="Arial"/>
                <w:b w:val="false"/>
                <w:i w:val="false"/>
                <w:color w:val="000000"/>
                <w:sz w:val="14"/>
              </w:rPr>
              <w:t>Type</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No. to be</w:t>
            </w:r>
          </w:p>
          <w:p>
            <w:pPr>
              <w:spacing w:before="0" w:after="0"/>
              <w:ind w:left="160"/>
              <w:jc w:val="left"/>
            </w:pPr>
            <w:r>
              <w:rPr>
                <w:rFonts w:ascii="Arial" w:hAnsi="Arial"/>
                <w:b w:val="false"/>
                <w:i w:val="false"/>
                <w:color w:val="000000"/>
                <w:sz w:val="14"/>
              </w:rPr>
              <w:t>Leased</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No. to be</w:t>
            </w:r>
          </w:p>
          <w:p>
            <w:pPr>
              <w:spacing w:before="0" w:after="0"/>
              <w:ind w:left="160"/>
              <w:jc w:val="left"/>
            </w:pPr>
            <w:r>
              <w:rPr>
                <w:rFonts w:ascii="Arial" w:hAnsi="Arial"/>
                <w:b w:val="false"/>
                <w:i w:val="false"/>
                <w:color w:val="000000"/>
                <w:sz w:val="14"/>
              </w:rPr>
              <w:t>Purchased</w:t>
            </w:r>
          </w:p>
        </w:tc>
        <w:tc>
          <w:tcPr>
            <w:tcW w:w="161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No. for</w:t>
            </w:r>
          </w:p>
          <w:p>
            <w:pPr>
              <w:spacing w:before="0" w:after="0"/>
              <w:ind w:left="160"/>
              <w:jc w:val="left"/>
            </w:pPr>
            <w:r>
              <w:rPr>
                <w:rFonts w:ascii="Arial" w:hAnsi="Arial"/>
                <w:b w:val="false"/>
                <w:i w:val="false"/>
                <w:color w:val="000000"/>
                <w:sz w:val="14"/>
              </w:rPr>
              <w:t>Replacement</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No. for</w:t>
            </w:r>
          </w:p>
          <w:p>
            <w:pPr>
              <w:spacing w:before="0" w:after="0"/>
              <w:ind w:left="160"/>
              <w:jc w:val="left"/>
            </w:pPr>
            <w:r>
              <w:rPr>
                <w:rFonts w:ascii="Arial" w:hAnsi="Arial"/>
                <w:b w:val="false"/>
                <w:i w:val="false"/>
                <w:color w:val="000000"/>
                <w:sz w:val="14"/>
              </w:rPr>
              <w:t>Expansion</w:t>
            </w:r>
          </w:p>
        </w:tc>
        <w:tc>
          <w:tcPr>
            <w:tcW w:w="159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Special</w:t>
            </w:r>
          </w:p>
          <w:p>
            <w:pPr>
              <w:spacing w:before="0" w:after="0"/>
              <w:ind w:left="160"/>
              <w:jc w:val="left"/>
            </w:pPr>
            <w:r>
              <w:rPr>
                <w:rFonts w:ascii="Arial" w:hAnsi="Arial"/>
                <w:b w:val="false"/>
                <w:i w:val="false"/>
                <w:color w:val="000000"/>
                <w:sz w:val="14"/>
              </w:rPr>
              <w:t>Equipment</w:t>
            </w:r>
          </w:p>
        </w:tc>
        <w:tc>
          <w:tcPr>
            <w:tcW w:w="1595" w:type="dxa"/>
            <w:tcBorders>
              <w:bottom w:val="single" w:color="000000" w:sz="8"/>
            </w:tcBorders>
            <w:tcMar>
              <w:top w:w="30" w:type="dxa"/>
              <w:left w:w="30" w:type="dxa"/>
              <w:bottom w:w="15" w:type="dxa"/>
              <w:right w:w="30" w:type="dxa"/>
            </w:tcMar>
            <w:vAlign w:val="top"/>
          </w:tcPr>
          <w:p>
            <w:pPr>
              <w:spacing w:before="0" w:after="0"/>
              <w:ind w:left="160"/>
              <w:jc w:val="left"/>
            </w:pPr>
            <w:r>
              <w:rPr>
                <w:rFonts w:ascii="Arial" w:hAnsi="Arial"/>
                <w:b w:val="false"/>
                <w:i w:val="false"/>
                <w:color w:val="000000"/>
                <w:sz w:val="14"/>
              </w:rPr>
              <w:t>Projected</w:t>
            </w:r>
          </w:p>
          <w:p>
            <w:pPr>
              <w:spacing w:before="0" w:after="0"/>
              <w:ind w:left="160"/>
              <w:jc w:val="left"/>
            </w:pPr>
            <w:r>
              <w:rPr>
                <w:rFonts w:ascii="Arial" w:hAnsi="Arial"/>
                <w:b w:val="false"/>
                <w:i w:val="false"/>
                <w:color w:val="000000"/>
                <w:sz w:val="14"/>
              </w:rPr>
              <w:t>Annual Cost</w:t>
            </w:r>
          </w:p>
        </w:tc>
      </w:tr>
      <w:tr>
        <w:trPr>
          <w:trHeight w:val="210" w:hRule="atLeast"/>
        </w:trPr>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10" w:hRule="atLeast"/>
        </w:trPr>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6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595" w:type="dxa"/>
            <w:tcBorders>
              <w:bottom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r>
        <w:trPr>
          <w:trHeight w:val="225" w:hRule="atLeast"/>
        </w:trPr>
        <w:tc>
          <w:tcPr>
            <w:tcW w:w="1596" w:type="dxa"/>
            <w:tcBorders>
              <w:right w:val="single" w:color="000000" w:sz="8"/>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Subtotal</w:t>
            </w:r>
          </w:p>
        </w:tc>
        <w:tc>
          <w:tcPr>
            <w:tcW w:w="1596"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4"/>
              </w:rPr>
              <w:t>----------</w:t>
            </w:r>
          </w:p>
        </w:tc>
        <w:tc>
          <w:tcPr>
            <w:tcW w:w="1596"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4"/>
              </w:rPr>
              <w:t>----------</w:t>
            </w:r>
          </w:p>
        </w:tc>
        <w:tc>
          <w:tcPr>
            <w:tcW w:w="1615"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4"/>
              </w:rPr>
              <w:t>----------</w:t>
            </w:r>
          </w:p>
        </w:tc>
        <w:tc>
          <w:tcPr>
            <w:tcW w:w="1596"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4"/>
              </w:rPr>
              <w:t>----------</w:t>
            </w:r>
          </w:p>
        </w:tc>
        <w:tc>
          <w:tcPr>
            <w:tcW w:w="1595" w:type="dxa"/>
            <w:tcBorders>
              <w:right w:val="single" w:color="000000" w:sz="8"/>
            </w:tcBorders>
            <w:tcMar>
              <w:top w:w="30" w:type="dxa"/>
              <w:left w:w="30" w:type="dxa"/>
              <w:bottom w:w="15" w:type="dxa"/>
              <w:right w:w="30" w:type="dxa"/>
            </w:tcMar>
            <w:vAlign w:val="top"/>
          </w:tcPr>
          <w:p>
            <w:pPr>
              <w:spacing w:before="0" w:after="0"/>
              <w:ind w:left="0"/>
              <w:jc w:val="center"/>
            </w:pPr>
            <w:r>
              <w:rPr>
                <w:rFonts w:ascii="Arial" w:hAnsi="Arial"/>
                <w:b w:val="false"/>
                <w:i w:val="false"/>
                <w:color w:val="000000"/>
                <w:sz w:val="14"/>
              </w:rPr>
              <w:t>----------</w:t>
            </w:r>
          </w:p>
        </w:tc>
        <w:tc>
          <w:tcPr>
            <w:tcW w:w="1595" w:type="dxa"/>
            <w:tcBorders/>
            <w:tcMar>
              <w:top w:w="30" w:type="dxa"/>
              <w:left w:w="30" w:type="dxa"/>
              <w:bottom w:w="15" w:type="dxa"/>
              <w:right w:w="30" w:type="dxa"/>
            </w:tcMar>
            <w:vAlign w:val="top"/>
          </w:tcPr>
          <w:p>
            <w:pPr>
              <w:spacing w:before="0" w:after="0"/>
              <w:ind w:left="0"/>
              <w:jc w:val="left"/>
            </w:pPr>
            <w:r>
              <w:rPr>
                <w:rFonts w:ascii="Arial" w:hAnsi="Arial"/>
                <w:b w:val="false"/>
                <w:i w:val="false"/>
                <w:color w:val="000000"/>
                <w:sz w:val="14"/>
              </w:rPr>
              <w:t>$</w:t>
            </w:r>
          </w:p>
        </w:tc>
      </w:tr>
    </w:tbl>
    <w:p>
      <w:pPr>
        <w:spacing w:before="0" w:after="0"/>
        <w:ind w:left="120"/>
        <w:jc w:val="both"/>
      </w:pPr>
      <w:r>
        <w:rPr>
          <w:rFonts w:ascii="Arial" w:hAnsi="Arial"/>
          <w:b/>
          <w:i w:val="false"/>
          <w:color w:val="000000"/>
          <w:sz w:val="14"/>
        </w:rPr>
        <w:t>Note: The total funding in Section IV must equal the total expenditures in Section V plus Section VI.</w:t>
      </w:r>
    </w:p>
    <w:p>
      <w:pPr>
        <w:spacing w:before="0" w:after="0"/>
        <w:ind w:left="120"/>
        <w:jc w:val="center"/>
      </w:pPr>
      <w:r>
        <w:rPr>
          <w:rFonts w:ascii="Times New Roman" w:hAnsi="Times New Roman"/>
          <w:b w:val="false"/>
          <w:i w:val="false"/>
          <w:color w:val="000000"/>
          <w:sz w:val="21"/>
        </w:rPr>
        <w:t>[Filed 3/8/85, Notice 1/16/85—published 3/27/85, effective 5/1/85]</w:t>
      </w:r>
    </w:p>
    <w:p>
      <w:pPr>
        <w:spacing w:before="0" w:after="0"/>
        <w:ind w:left="120"/>
        <w:jc w:val="center"/>
      </w:pPr>
      <w:r>
        <w:rPr>
          <w:rFonts w:ascii="Times New Roman" w:hAnsi="Times New Roman"/>
          <w:b w:val="false"/>
          <w:i w:val="false"/>
          <w:color w:val="000000"/>
          <w:sz w:val="21"/>
        </w:rPr>
        <w:t>[Filed 2/20/86, Notice 1/1/86—published 3/12/86, effective 4/16/86]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emergency 7/1/92—published 7/22/92, effective 7/27/92]</w:t>
      </w:r>
    </w:p>
    <w:p>
      <w:pPr>
        <w:spacing w:before="0" w:after="0"/>
        <w:ind w:left="120"/>
        <w:jc w:val="center"/>
      </w:pPr>
      <w:r>
        <w:rPr>
          <w:rFonts w:ascii="Times New Roman" w:hAnsi="Times New Roman"/>
          <w:b w:val="false"/>
          <w:i w:val="false"/>
          <w:color w:val="000000"/>
          <w:sz w:val="21"/>
        </w:rPr>
        <w:t>[Filed 11/20/92, Notice 10/14/92—published 12/9/92, effective 1/13/93]</w:t>
      </w:r>
    </w:p>
    <w:p>
      <w:pPr>
        <w:spacing w:before="0" w:after="0"/>
        <w:ind w:left="120"/>
        <w:jc w:val="center"/>
      </w:pPr>
      <w:r>
        <w:rPr>
          <w:rFonts w:ascii="Times New Roman" w:hAnsi="Times New Roman"/>
          <w:b w:val="false"/>
          <w:i w:val="false"/>
          <w:color w:val="000000"/>
          <w:sz w:val="21"/>
        </w:rPr>
        <w:t>[Filed 9/8/94, Notice 7/20/94—published 9/28/94, effective 11/2/94]</w:t>
      </w:r>
    </w:p>
    <w:p>
      <w:pPr>
        <w:spacing w:before="0" w:after="0"/>
        <w:ind w:left="120"/>
        <w:jc w:val="center"/>
      </w:pPr>
      <w:r>
        <w:rPr>
          <w:rFonts w:ascii="Times New Roman" w:hAnsi="Times New Roman"/>
          <w:b w:val="false"/>
          <w:i w:val="false"/>
          <w:color w:val="000000"/>
          <w:sz w:val="21"/>
        </w:rPr>
        <w:t>[Editorial change: IAC Supplement 2/23/11]</w:t>
      </w:r>
    </w:p>
    <w:p>
      <w:pPr>
        <w:spacing w:before="0" w:after="0"/>
        <w:ind w:left="120"/>
        <w:jc w:val="center"/>
      </w:pPr>
      <w:r>
        <w:rPr>
          <w:rFonts w:ascii="Times New Roman" w:hAnsi="Times New Roman"/>
          <w:b w:val="false"/>
          <w:i w:val="false"/>
          <w:color w:val="000000"/>
          <w:sz w:val="21"/>
        </w:rPr>
        <w:t>[Filed ARC 3690C</w:t>
      </w:r>
      <w:r>
        <w:rPr>
          <w:rFonts w:ascii="Times New Roman" w:hAnsi="Times New Roman"/>
          <w:b w:val="false"/>
          <w:i w:val="false"/>
          <w:color w:val="000000"/>
          <w:sz w:val="21"/>
        </w:rPr>
        <w:t xml:space="preserve"> (Notice ARC 3533C,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[Editorial change: IAC Supplement 11/29/23]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4A.1.pdf" Type="http://schemas.openxmlformats.org/officeDocument/2006/relationships/hyperlink" Id="rId5"/>
    <Relationship TargetMode="External" Target="https://www.legis.iowa.gov/docs/iac/rule/761.910.3.pdf" Type="http://schemas.openxmlformats.org/officeDocument/2006/relationships/hyperlink" Id="rId6"/>
    <Relationship TargetMode="External" Target="https://www.legis.iowa.gov/docs/ico/chapter/324A.pdf" Type="http://schemas.openxmlformats.org/officeDocument/2006/relationships/hyperlink" Id="rId7"/>
    <Relationship TargetMode="External" Target="https://www.legis.iowa.gov/docs/ico/chapter/324A.1.pdf" Type="http://schemas.openxmlformats.org/officeDocument/2006/relationships/hyperlink" Id="rId8"/>
    <Relationship TargetMode="External" Target="http://www.iowadot.gov" Type="http://schemas.openxmlformats.org/officeDocument/2006/relationships/hyperlink" Id="rId9"/>
    <Relationship TargetMode="External" Target="https://www.legis.iowa.gov/docs/ico/chapter/17A.3.pdf" Type="http://schemas.openxmlformats.org/officeDocument/2006/relationships/hyperlink" Id="rId10"/>
    <Relationship TargetMode="External" Target="https://www.legis.iowa.gov/docs/ico/chapter/324A.pdf" Type="http://schemas.openxmlformats.org/officeDocument/2006/relationships/hyperlink" Id="rId11"/>
    <Relationship TargetMode="External" Target="https://www.legis.iowa.gov/docs/ico/chapter/324A.pdf" Type="http://schemas.openxmlformats.org/officeDocument/2006/relationships/hyperlink" Id="rId12"/>
    <Relationship TargetMode="External" Target="https://www.legis.iowa.gov/docs/ico/chapter/324A.4.pdf" Type="http://schemas.openxmlformats.org/officeDocument/2006/relationships/hyperlink" Id="rId13"/>
    <Relationship TargetMode="External" Target="https://www.legis.iowa.gov/docs/ico/chapter/324A.5.pdf" Type="http://schemas.openxmlformats.org/officeDocument/2006/relationships/hyperlink" Id="rId14"/>
    <Relationship TargetMode="External" Target="https://www.legis.iowa.gov/docs/ico/chapter/324A.pdf" Type="http://schemas.openxmlformats.org/officeDocument/2006/relationships/hyperlink" Id="rId15"/>
    <Relationship TargetMode="External" Target="https://www.legis.iowa.gov/docs/iac/rule/761.910.5.pdf" Type="http://schemas.openxmlformats.org/officeDocument/2006/relationships/hyperlink" Id="rId16"/>
    <Relationship TargetMode="External" Target="https://www.legis.iowa.gov/docs/ico/chapter/324A.4.pdf" Type="http://schemas.openxmlformats.org/officeDocument/2006/relationships/hyperlink" Id="rId17"/>
    <Relationship TargetMode="External" Target="https://www.legis.iowa.gov/docs/iac/chapter/761.910.pdf" Type="http://schemas.openxmlformats.org/officeDocument/2006/relationships/hyperlink" Id="rId18"/>
    <Relationship TargetMode="External" Target="https://www.legis.iowa.gov/docs/ico/chapter/324A.4.pdf" Type="http://schemas.openxmlformats.org/officeDocument/2006/relationships/hyperlink" Id="rId19"/>
    <Relationship TargetMode="External" Target="https://www.legis.iowa.gov/docs/ico/chapter/324A.4.pdf" Type="http://schemas.openxmlformats.org/officeDocument/2006/relationships/hyperlink" Id="rId20"/>
    <Relationship TargetMode="External" Target="https://www.legis.iowa.gov/docs/ico/chapter/324A.5.pdf" Type="http://schemas.openxmlformats.org/officeDocument/2006/relationships/hyperlink" Id="rId21"/>
    <Relationship TargetMode="External" Target="https://www.legis.iowa.gov/docs/ico/chapter/324A.5.pdf" Type="http://schemas.openxmlformats.org/officeDocument/2006/relationships/hyperlink" Id="rId22"/>
    <Relationship TargetMode="External" Target="https://www.legis.iowa.gov/docs/ico/chapter/324A.4.pdf" Type="http://schemas.openxmlformats.org/officeDocument/2006/relationships/hyperlink" Id="rId23"/>
    <Relationship TargetMode="External" Target="https://www.legis.iowa.gov/docs/ico/chapter/324A.5.pdf" Type="http://schemas.openxmlformats.org/officeDocument/2006/relationships/hyperlink" Id="rId24"/>
    <Relationship TargetMode="External" Target="https://www.legis.iowa.gov/docs/ico/chapter/324A.5.pdf" Type="http://schemas.openxmlformats.org/officeDocument/2006/relationships/hyperlink" Id="rId25"/>
    <Relationship TargetMode="External" Target="https://www.legis.iowa.gov/docs/ico/chapter/324A.5.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