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811</w:t>
      </w:r>
    </w:p>
    <w:p>
      <w:pPr>
        <w:spacing w:before="0" w:after="0"/>
        <w:ind w:left="120"/>
        <w:jc w:val="center"/>
      </w:pPr>
      <w:r>
        <w:rPr>
          <w:rFonts w:ascii="Times New Roman" w:hAnsi="Times New Roman"/>
          <w:b w:val="false"/>
          <w:i w:val="false"/>
          <w:color w:val="000000"/>
          <w:sz w:val="21"/>
        </w:rPr>
        <w:t>HIGHWAY-RAILROAD GRADE CROSSING WARNING DEVICES</w:t>
      </w:r>
    </w:p>
    <w:p>
      <w:pPr>
        <w:spacing w:before="0" w:after="0"/>
        <w:ind w:left="120"/>
        <w:jc w:val="center"/>
      </w:pPr>
      <w:r>
        <w:rPr>
          <w:rFonts w:ascii="Times New Roman" w:hAnsi="Times New Roman"/>
          <w:b w:val="false"/>
          <w:i w:val="false"/>
          <w:color w:val="000000"/>
          <w:sz w:val="14"/>
        </w:rPr>
        <w:t>[Prior to 6/3/87, Transportation Department [820]—(10,B)Ch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761—811.1</w:t>
      </w:r>
      <w:r>
        <w:rPr>
          <w:rFonts w:ascii="Times New Roman" w:hAnsi="Times New Roman"/>
          <w:b/>
          <w:i w:val="false"/>
          <w:color w:val="000000"/>
          <w:sz w:val="22"/>
        </w:rPr>
        <w:t xml:space="preserve">(307) </w:t>
      </w:r>
      <w:r>
        <w:rPr>
          <w:rFonts w:ascii="Times New Roman" w:hAnsi="Times New Roman"/>
          <w:b/>
          <w:i w:val="false"/>
          <w:color w:val="000000"/>
          <w:sz w:val="22"/>
        </w:rPr>
        <w:t xml:space="preserve">Standards. </w:t>
      </w:r>
      <w:r>
        <w:rPr>
          <w:rFonts w:ascii="Times New Roman" w:hAnsi="Times New Roman"/>
          <w:b w:val="false"/>
          <w:i w:val="false"/>
          <w:color w:val="000000"/>
          <w:sz w:val="22"/>
        </w:rPr>
        <w:t xml:space="preserve">All highway-railroad grade crossing warning devices installed shall conform to Part 8, “Traffic Controls for Railroad and Light Rail Transit Grade Crossings,” of the “Manual on Uniform Traffic Control Devices” as adopted in </w:t>
      </w:r>
      <w:hyperlink r:id="rId5">
        <w:r>
          <w:rPr>
            <w:rStyle w:val="Hyperlink"/>
            <w:rFonts w:ascii="Times New Roman" w:hAnsi="Times New Roman"/>
            <w:b w:val="false"/>
            <w:i w:val="false"/>
            <w:color w:val="000000"/>
            <w:sz w:val="22"/>
          </w:rPr>
          <w:t>761—Chapter 130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307.26(7)</w:t>
        </w:r>
      </w:hyperlink>
      <w:r>
        <w:rPr>
          <w:rFonts w:ascii="Times New Roman" w:hAnsi="Times New Roman"/>
          <w:b w:val="false"/>
          <w:i/>
          <w:color w:val="000000"/>
          <w:sz w:val="22"/>
        </w:rPr>
        <w:t>“b,”</w:t>
      </w:r>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321.252</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327G.2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6710C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761—811.2</w:t>
      </w:r>
      <w:r>
        <w:rPr>
          <w:rFonts w:ascii="Times New Roman" w:hAnsi="Times New Roman"/>
          <w:b/>
          <w:i w:val="false"/>
          <w:color w:val="000000"/>
          <w:sz w:val="22"/>
        </w:rPr>
        <w:t xml:space="preserve">(307) </w:t>
      </w:r>
      <w:r>
        <w:rPr>
          <w:rFonts w:ascii="Times New Roman" w:hAnsi="Times New Roman"/>
          <w:b/>
          <w:i w:val="false"/>
          <w:color w:val="000000"/>
          <w:sz w:val="22"/>
        </w:rPr>
        <w:t xml:space="preserve">Contact information. </w:t>
      </w:r>
      <w:r>
        <w:rPr>
          <w:rFonts w:ascii="Times New Roman" w:hAnsi="Times New Roman"/>
          <w:b w:val="false"/>
          <w:i w:val="false"/>
          <w:color w:val="000000"/>
          <w:sz w:val="22"/>
        </w:rPr>
        <w:t>Information about this chapter may be obtained by contacting the department at the following address: Modal Transportation Bureau, Iowa Department of Transportation, 800 Lincoln Way, Ames, Iowa 50010; telephone (515)239-1108.</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307.26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6710C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8/24/82, Notice 7/7/82—published 9/15/82, effective 10/20/82]</w:t>
      </w:r>
    </w:p>
    <w:p>
      <w:pPr>
        <w:spacing w:before="0" w:after="0"/>
        <w:ind w:left="120"/>
        <w:jc w:val="center"/>
      </w:pPr>
      <w:r>
        <w:rPr>
          <w:rFonts w:ascii="Times New Roman" w:hAnsi="Times New Roman"/>
          <w:b w:val="false"/>
          <w:i w:val="false"/>
          <w:color w:val="000000"/>
          <w:sz w:val="21"/>
        </w:rPr>
        <w:t>[Filed 10/2/85, Notice 8/14/85—published 10/23/85, effective 11/27/85]</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4/17/96, Notice 3/13/96—published 5/8/96, effective 6/12/96]</w:t>
      </w:r>
    </w:p>
    <w:p>
      <w:pPr>
        <w:spacing w:before="0" w:after="0"/>
        <w:ind w:left="120"/>
        <w:jc w:val="center"/>
      </w:pPr>
      <w:r>
        <w:rPr>
          <w:rFonts w:ascii="Times New Roman" w:hAnsi="Times New Roman"/>
          <w:b w:val="false"/>
          <w:i w:val="false"/>
          <w:color w:val="000000"/>
          <w:sz w:val="21"/>
        </w:rPr>
        <w:t>[Filed 7/15/03, Notice 5/14/03—published 8/6/03, effective 9/10/03]</w:t>
      </w:r>
    </w:p>
    <w:p>
      <w:pPr>
        <w:spacing w:before="0" w:after="0"/>
        <w:ind w:left="120"/>
        <w:jc w:val="center"/>
      </w:pPr>
      <w:r>
        <w:rPr>
          <w:rFonts w:ascii="Times New Roman" w:hAnsi="Times New Roman"/>
          <w:b w:val="false"/>
          <w:i w:val="false"/>
          <w:color w:val="000000"/>
          <w:sz w:val="21"/>
        </w:rPr>
        <w:t>[Filed ARC 6710C</w:t>
      </w:r>
      <w:r>
        <w:rPr>
          <w:rFonts w:ascii="Times New Roman" w:hAnsi="Times New Roman"/>
          <w:b w:val="false"/>
          <w:i w:val="false"/>
          <w:color w:val="000000"/>
          <w:sz w:val="21"/>
        </w:rPr>
        <w:t xml:space="preserve"> (Notice ARC 6575C, IAB 10/5/22)</w:t>
      </w:r>
      <w:r>
        <w:rPr>
          <w:rFonts w:ascii="Times New Roman" w:hAnsi="Times New Roman"/>
          <w:b w:val="false"/>
          <w:i w:val="false"/>
          <w:color w:val="000000"/>
          <w:sz w:val="21"/>
        </w:rPr>
        <w:t>, IAB 11/30/22, effective 1/4/23]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61.130.pdf" Type="http://schemas.openxmlformats.org/officeDocument/2006/relationships/hyperlink" Id="rId5"/>
    <Relationship TargetMode="External" Target="https://www.legis.iowa.gov/docs/ico/chapter/307.26.pdf" Type="http://schemas.openxmlformats.org/officeDocument/2006/relationships/hyperlink" Id="rId6"/>
    <Relationship TargetMode="External" Target="https://www.legis.iowa.gov/docs/ico/chapter/321.252.pdf" Type="http://schemas.openxmlformats.org/officeDocument/2006/relationships/hyperlink" Id="rId7"/>
    <Relationship TargetMode="External" Target="https://www.legis.iowa.gov/docs/ico/chapter/327G.2.pdf" Type="http://schemas.openxmlformats.org/officeDocument/2006/relationships/hyperlink" Id="rId8"/>
    <Relationship TargetMode="External" Target="https://www.legis.iowa.gov/docs/ico/chapter/307.26.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