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810</w:t>
      </w:r>
    </w:p>
    <w:p>
      <w:pPr>
        <w:spacing w:before="0" w:after="0"/>
        <w:ind w:left="120"/>
        <w:jc w:val="center"/>
      </w:pPr>
      <w:r>
        <w:rPr>
          <w:rFonts w:ascii="Times New Roman" w:hAnsi="Times New Roman"/>
          <w:b w:val="false"/>
          <w:i w:val="false"/>
          <w:color w:val="000000"/>
          <w:sz w:val="21"/>
        </w:rPr>
        <w:t>RAILROAD SAFETY STANDARDS</w:t>
      </w:r>
    </w:p>
    <w:p>
      <w:pPr>
        <w:spacing w:before="0" w:after="0"/>
        <w:ind w:left="120"/>
        <w:jc w:val="center"/>
      </w:pPr>
      <w:r>
        <w:rPr>
          <w:rFonts w:ascii="Times New Roman" w:hAnsi="Times New Roman"/>
          <w:b w:val="false"/>
          <w:i w:val="false"/>
          <w:color w:val="000000"/>
          <w:sz w:val="14"/>
        </w:rPr>
        <w:t>[Prior to 6/3/87, Transportation Department [820]—(10,B)Ch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761—810.1</w:t>
      </w:r>
      <w:r>
        <w:rPr>
          <w:rFonts w:ascii="Times New Roman" w:hAnsi="Times New Roman"/>
          <w:b/>
          <w:i w:val="false"/>
          <w:color w:val="000000"/>
          <w:sz w:val="22"/>
        </w:rPr>
        <w:t xml:space="preserve">(327C) </w:t>
      </w:r>
      <w:r>
        <w:rPr>
          <w:rFonts w:ascii="Times New Roman" w:hAnsi="Times New Roman"/>
          <w:b/>
          <w:i w:val="false"/>
          <w:color w:val="000000"/>
          <w:sz w:val="22"/>
        </w:rPr>
        <w:t xml:space="preserve">Track safety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The department adopts the railroad track safety standards contained in 49 CFR Part 213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810.1(2)</w:t>
      </w:r>
      <w:r>
        <w:rPr>
          <w:rFonts w:ascii="Times New Roman" w:hAnsi="Times New Roman"/>
          <w:b w:val="false"/>
          <w:i w:val="false"/>
          <w:color w:val="000000"/>
          <w:sz w:val="22"/>
        </w:rPr>
        <w:t> </w:t>
      </w:r>
      <w:r>
        <w:rPr>
          <w:rFonts w:ascii="Times New Roman" w:hAnsi="Times New Roman"/>
          <w:b w:val="false"/>
          <w:i/>
          <w:color w:val="000000"/>
          <w:sz w:val="22"/>
        </w:rPr>
        <w:t xml:space="preserve">Obtaining copies of regulations. </w:t>
      </w:r>
      <w:r>
        <w:rPr>
          <w:rFonts w:ascii="Times New Roman" w:hAnsi="Times New Roman"/>
          <w:b w:val="false"/>
          <w:i w:val="false"/>
          <w:color w:val="000000"/>
          <w:sz w:val="22"/>
        </w:rPr>
        <w:t xml:space="preserve">Copies of the federal regulations are available from the state law library or online at </w:t>
      </w:r>
      <w:hyperlink r:id="rId5">
        <w:r>
          <w:rPr>
            <w:rStyle w:val="Hyperlink"/>
            <w:rFonts w:ascii="Times New Roman" w:hAnsi="Times New Roman"/>
            <w:b w:val="false"/>
            <w:i w:val="false"/>
            <w:color w:val="000000"/>
            <w:sz w:val="22"/>
            <w:u w:val="single"/>
          </w:rPr>
          <w:t>www.gpo.gov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327C.4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8055C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761—810.2</w:t>
      </w:r>
      <w:r>
        <w:rPr>
          <w:rFonts w:ascii="Times New Roman" w:hAnsi="Times New Roman"/>
          <w:b/>
          <w:i w:val="false"/>
          <w:color w:val="000000"/>
          <w:sz w:val="22"/>
        </w:rPr>
        <w:t xml:space="preserve">(327C) </w:t>
      </w:r>
      <w:r>
        <w:rPr>
          <w:rFonts w:ascii="Times New Roman" w:hAnsi="Times New Roman"/>
          <w:b/>
          <w:i w:val="false"/>
          <w:color w:val="000000"/>
          <w:sz w:val="22"/>
        </w:rPr>
        <w:t xml:space="preserve">Track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810.2(1)</w:t>
      </w:r>
      <w:r>
        <w:rPr>
          <w:rFonts w:ascii="Times New Roman" w:hAnsi="Times New Roman"/>
          <w:b w:val="false"/>
          <w:i w:val="false"/>
          <w:color w:val="000000"/>
          <w:sz w:val="22"/>
        </w:rPr>
        <w:t> </w:t>
      </w:r>
      <w:r>
        <w:rPr>
          <w:rFonts w:ascii="Times New Roman" w:hAnsi="Times New Roman"/>
          <w:b w:val="false"/>
          <w:i/>
          <w:color w:val="000000"/>
          <w:sz w:val="22"/>
        </w:rPr>
        <w:t xml:space="preserve">Credentials required. </w:t>
      </w:r>
      <w:r>
        <w:rPr>
          <w:rFonts w:ascii="Times New Roman" w:hAnsi="Times New Roman"/>
          <w:b w:val="false"/>
          <w:i w:val="false"/>
          <w:color w:val="000000"/>
          <w:sz w:val="22"/>
        </w:rPr>
        <w:t>Authorized departmental employees shall be admitted to any railroad property to conduct safety inspections of the track and track structures and shall present state identification cards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810.2(2)</w:t>
      </w:r>
      <w:r>
        <w:rPr>
          <w:rFonts w:ascii="Times New Roman" w:hAnsi="Times New Roman"/>
          <w:b w:val="false"/>
          <w:i w:val="false"/>
          <w:color w:val="000000"/>
          <w:sz w:val="22"/>
        </w:rPr>
        <w:t> </w:t>
      </w:r>
      <w:r>
        <w:rPr>
          <w:rFonts w:ascii="Times New Roman" w:hAnsi="Times New Roman"/>
          <w:b w:val="false"/>
          <w:i/>
          <w:color w:val="000000"/>
          <w:sz w:val="22"/>
        </w:rPr>
        <w:t xml:space="preserve">Measurement tools and vehicles.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8/6/03</w:t>
      </w:r>
      <w:r>
        <w:rPr>
          <w:rFonts w:ascii="Times New Roman" w:hAnsi="Times New Roman"/>
          <w:b w:val="false"/>
          <w:i w:val="false"/>
          <w:color w:val="000000"/>
          <w:sz w:val="22"/>
        </w:rPr>
        <w:t>, effective 9/10/03.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327C.4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761—810.3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761—810.4</w:t>
      </w:r>
      <w:r>
        <w:rPr>
          <w:rFonts w:ascii="Times New Roman" w:hAnsi="Times New Roman"/>
          <w:b/>
          <w:i w:val="false"/>
          <w:color w:val="000000"/>
          <w:sz w:val="22"/>
        </w:rPr>
        <w:t xml:space="preserve">(327F) </w:t>
      </w:r>
      <w:r>
        <w:rPr>
          <w:rFonts w:ascii="Times New Roman" w:hAnsi="Times New Roman"/>
          <w:b/>
          <w:i w:val="false"/>
          <w:color w:val="000000"/>
          <w:sz w:val="22"/>
        </w:rPr>
        <w:t xml:space="preserve">First aid and medical treatment for railroad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810.4(1)</w:t>
      </w:r>
      <w:r>
        <w:rPr>
          <w:rFonts w:ascii="Times New Roman" w:hAnsi="Times New Roman"/>
          <w:b w:val="false"/>
          <w:i w:val="false"/>
          <w:color w:val="000000"/>
          <w:sz w:val="22"/>
        </w:rPr>
        <w:t> </w:t>
      </w:r>
      <w:r>
        <w:rPr>
          <w:rFonts w:ascii="Times New Roman" w:hAnsi="Times New Roman"/>
          <w:b w:val="false"/>
          <w:i w:val="false"/>
          <w:color w:val="000000"/>
          <w:sz w:val="22"/>
        </w:rPr>
        <w:t>Railroad employees who are injured in the course of employment shall have reasonable and adequate access to first aid or medical treatment. A railroad or railroad employee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Deny, delay or interfere with first aid or medical treatment for any railroad employee who is injured in the course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Discipline or threaten to discipline any railroad employee for requesting first aid or medical treatment when the employee is injured in the course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810.4(2)</w:t>
      </w:r>
      <w:r>
        <w:rPr>
          <w:rFonts w:ascii="Times New Roman" w:hAnsi="Times New Roman"/>
          <w:b w:val="false"/>
          <w:i w:val="false"/>
          <w:color w:val="000000"/>
          <w:sz w:val="22"/>
        </w:rPr>
        <w:t> </w:t>
      </w:r>
      <w:r>
        <w:rPr>
          <w:rFonts w:ascii="Times New Roman" w:hAnsi="Times New Roman"/>
          <w:b w:val="false"/>
          <w:i w:val="false"/>
          <w:color w:val="000000"/>
          <w:sz w:val="22"/>
        </w:rPr>
        <w:t>All railroads operating in the state must make reasonable efforts to have emergency first-aid kits available at locations where railroad employees perform their employment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810.4(3)</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require a railroad or railroad employee to perform first aid or medical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327F.38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761—810.5</w:t>
      </w:r>
      <w:r>
        <w:rPr>
          <w:rFonts w:ascii="Times New Roman" w:hAnsi="Times New Roman"/>
          <w:b/>
          <w:i w:val="false"/>
          <w:color w:val="000000"/>
          <w:sz w:val="22"/>
        </w:rPr>
        <w:t xml:space="preserve">(327F) </w:t>
      </w:r>
      <w:r>
        <w:rPr>
          <w:rFonts w:ascii="Times New Roman" w:hAnsi="Times New Roman"/>
          <w:b/>
          <w:i w:val="false"/>
          <w:color w:val="000000"/>
          <w:sz w:val="22"/>
        </w:rPr>
        <w:t xml:space="preserve">Worker transportation motor vehicle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810.5(1)</w:t>
      </w:r>
      <w:r>
        <w:rPr>
          <w:rFonts w:ascii="Times New Roman" w:hAnsi="Times New Roman"/>
          <w:b w:val="false"/>
          <w:i w:val="false"/>
          <w:color w:val="000000"/>
          <w:sz w:val="22"/>
        </w:rPr>
        <w:t> </w:t>
      </w:r>
      <w:r>
        <w:rPr>
          <w:rFonts w:ascii="Times New Roman" w:hAnsi="Times New Roman"/>
          <w:b w:val="false"/>
          <w:i/>
          <w:color w:val="000000"/>
          <w:sz w:val="22"/>
        </w:rPr>
        <w:t xml:space="preserve">Heater requirement. </w:t>
      </w:r>
      <w:r>
        <w:rPr>
          <w:rFonts w:ascii="Times New Roman" w:hAnsi="Times New Roman"/>
          <w:b w:val="false"/>
          <w:i w:val="false"/>
          <w:color w:val="000000"/>
          <w:sz w:val="22"/>
        </w:rPr>
        <w:t xml:space="preserve">Pursuant to Iowa Code subsection </w:t>
      </w:r>
      <w:hyperlink r:id="rId10">
        <w:r>
          <w:rPr>
            <w:rStyle w:val="Hyperlink"/>
            <w:rFonts w:ascii="Times New Roman" w:hAnsi="Times New Roman"/>
            <w:b w:val="false"/>
            <w:i w:val="false"/>
            <w:color w:val="000000"/>
            <w:sz w:val="22"/>
          </w:rPr>
          <w:t>327F.39(4)</w:t>
        </w:r>
      </w:hyperlink>
      <w:r>
        <w:rPr>
          <w:rFonts w:ascii="Times New Roman" w:hAnsi="Times New Roman"/>
          <w:b w:val="false"/>
          <w:i w:val="false"/>
          <w:color w:val="000000"/>
          <w:sz w:val="22"/>
        </w:rPr>
        <w:t xml:space="preserve">, a motor vehicle used to transport railroad workers shall be equipped with a heating system that maintains a reasonable comfort level in the vehicle spaces where the workers are required to ride. The heating system shall comply with the safety standards established in 49 CFR 393.77, as adopted in rule </w:t>
      </w:r>
      <w:hyperlink r:id="rId11">
        <w:r>
          <w:rPr>
            <w:rStyle w:val="Hyperlink"/>
            <w:rFonts w:ascii="Times New Roman" w:hAnsi="Times New Roman"/>
            <w:b w:val="false"/>
            <w:i w:val="false"/>
            <w:color w:val="000000"/>
            <w:sz w:val="22"/>
          </w:rPr>
          <w:t>661—22.1(321)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810.5(2)</w:t>
      </w:r>
      <w:r>
        <w:rPr>
          <w:rFonts w:ascii="Times New Roman" w:hAnsi="Times New Roman"/>
          <w:b w:val="false"/>
          <w:i w:val="false"/>
          <w:color w:val="000000"/>
          <w:sz w:val="22"/>
        </w:rPr>
        <w:t> </w:t>
      </w:r>
      <w:r>
        <w:rPr>
          <w:rFonts w:ascii="Times New Roman" w:hAnsi="Times New Roman"/>
          <w:b w:val="false"/>
          <w:i/>
          <w:color w:val="000000"/>
          <w:sz w:val="22"/>
        </w:rPr>
        <w:t xml:space="preserve">Report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report an alleged violation in writing to the responsible railroad company at its corporate headquarters.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within 30 days the railroad company does not respond or if the response is unsatisfactory, the person may report the alleged violation to the department at the following address: Modal Transportation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report shall include the date, time, weather conditions and all facts pertinent to the alleged violation. The report shall also include a copy of the railroad’s response or, if the railroad failed to respond, proof of the date the report was submitted to the railroad.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modal transportation bureau or the director’s designee may request additional information from the person submitting the report, the railroad worker transportation company or the railroad.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of the modal transportation bureau or the director’s designee, which may include peace officers within the commercial motor vehicle unit of the department of public safety, may investigate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modal transportation bureau or the director’s designee shall issue a decision within 20 days of receipt of the report or 20 days after receipt of the requested additional information. The decision may include any order as necessary to enforce the requirements of Iowa Code section </w:t>
      </w:r>
      <w:hyperlink r:id="rId12">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 xml:space="preserve">, as set forth in Iowa Code section </w:t>
      </w:r>
      <w:hyperlink r:id="rId13">
        <w:r>
          <w:rPr>
            <w:rStyle w:val="Hyperlink"/>
            <w:rFonts w:ascii="Times New Roman" w:hAnsi="Times New Roman"/>
            <w:b w:val="false"/>
            <w:i w:val="false"/>
            <w:color w:val="000000"/>
            <w:sz w:val="22"/>
          </w:rPr>
          <w:t>327F.39(6)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person and the railroad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is final agency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761—810.6</w:t>
      </w:r>
      <w:r>
        <w:rPr>
          <w:rFonts w:ascii="Times New Roman" w:hAnsi="Times New Roman"/>
          <w:b/>
          <w:i w:val="false"/>
          <w:color w:val="000000"/>
          <w:sz w:val="22"/>
        </w:rPr>
        <w:t xml:space="preserve">(327F) </w:t>
      </w:r>
      <w:r>
        <w:rPr>
          <w:rFonts w:ascii="Times New Roman" w:hAnsi="Times New Roman"/>
          <w:b/>
          <w:i w:val="false"/>
          <w:color w:val="000000"/>
          <w:sz w:val="22"/>
        </w:rPr>
        <w:t xml:space="preserve">Worker transportation rest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810.6(1)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 railroad worker transportation company and railroad worker transportation company driver shall comply with the rest period requirements of Iowa Code sections </w:t>
      </w:r>
      <w:hyperlink r:id="rId15">
        <w:r>
          <w:rPr>
            <w:rStyle w:val="Hyperlink"/>
            <w:rFonts w:ascii="Times New Roman" w:hAnsi="Times New Roman"/>
            <w:b w:val="false"/>
            <w:i w:val="false"/>
            <w:color w:val="000000"/>
            <w:sz w:val="22"/>
          </w:rPr>
          <w:t>321.449A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327F.39(5)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810.6(2)</w:t>
      </w:r>
      <w:r>
        <w:rPr>
          <w:rFonts w:ascii="Times New Roman" w:hAnsi="Times New Roman"/>
          <w:b w:val="false"/>
          <w:i w:val="false"/>
          <w:color w:val="000000"/>
          <w:sz w:val="22"/>
        </w:rPr>
        <w:t> </w:t>
      </w:r>
      <w:r>
        <w:rPr>
          <w:rFonts w:ascii="Times New Roman" w:hAnsi="Times New Roman"/>
          <w:b w:val="false"/>
          <w:i/>
          <w:color w:val="000000"/>
          <w:sz w:val="22"/>
        </w:rPr>
        <w:t xml:space="preserve">Report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report an alleged violation in writing to the department at the following address: Modal Transportation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shall include the date, time, circumstances and any evidence of an alleged violation, and the name and contact information of the driver employed by the railroad worker transportation company or the railroad worker transportation company alleged to require a driver to violate the provisions of Iowa Code section </w:t>
      </w:r>
      <w:hyperlink r:id="rId17">
        <w:r>
          <w:rPr>
            <w:rStyle w:val="Hyperlink"/>
            <w:rFonts w:ascii="Times New Roman" w:hAnsi="Times New Roman"/>
            <w:b w:val="false"/>
            <w:i w:val="false"/>
            <w:color w:val="000000"/>
            <w:sz w:val="22"/>
          </w:rPr>
          <w:t>321.449A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327F.39(5)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of the modal transportation bureau or the director’s designee may request additional information from the driver, railroad worker transportation company or railroad.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of the modal transportation bureau or the director’s designee, which may include peace officers within the commercial motor vehicle unit of the department of public safety, may investigate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modal transportation bureau or the director’s designee shall issue a decision within 60 days of receipt of the report or 60 days after receipt of the requested additional information. The decision may include any order as necessary to enforce the requirements of Iowa Code section </w:t>
      </w:r>
      <w:hyperlink r:id="rId19">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 xml:space="preserve">, as set forth in Iowa Code section </w:t>
      </w:r>
      <w:hyperlink r:id="rId20">
        <w:r>
          <w:rPr>
            <w:rStyle w:val="Hyperlink"/>
            <w:rFonts w:ascii="Times New Roman" w:hAnsi="Times New Roman"/>
            <w:b w:val="false"/>
            <w:i w:val="false"/>
            <w:color w:val="000000"/>
            <w:sz w:val="22"/>
          </w:rPr>
          <w:t>327F.39(6)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driver and the railroad worker transportation company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decision is final agency action.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321.449A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327F.39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3881C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7/26/23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8/26/88, Notice 7/13/88—published 9/21/88, effective 10/26/88]</w:t>
      </w:r>
    </w:p>
    <w:p>
      <w:pPr>
        <w:spacing w:before="0" w:after="0"/>
        <w:ind w:left="120"/>
        <w:jc w:val="center"/>
      </w:pPr>
      <w:r>
        <w:rPr>
          <w:rFonts w:ascii="Times New Roman" w:hAnsi="Times New Roman"/>
          <w:b w:val="false"/>
          <w:i w:val="false"/>
          <w:color w:val="000000"/>
          <w:sz w:val="21"/>
        </w:rPr>
        <w:t>[Filed 1/10/90, Notice 11/29/89—published 2/7/90, effective 3/14/90]</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5/11/05, Notice 3/16/05—published 6/8/05, effective 7/13/05]</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6709C</w:t>
      </w:r>
      <w:r>
        <w:rPr>
          <w:rFonts w:ascii="Times New Roman" w:hAnsi="Times New Roman"/>
          <w:b w:val="false"/>
          <w:i w:val="false"/>
          <w:color w:val="000000"/>
          <w:sz w:val="21"/>
        </w:rPr>
        <w:t xml:space="preserve"> (Notice ARC 6574C,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gpo.gov" Type="http://schemas.openxmlformats.org/officeDocument/2006/relationships/hyperlink" Id="rId5"/>
    <Relationship TargetMode="External" Target="https://www.legis.iowa.gov/docs/ico/chapter/307.26.pdf" Type="http://schemas.openxmlformats.org/officeDocument/2006/relationships/hyperlink" Id="rId6"/>
    <Relationship TargetMode="External" Target="https://www.legis.iowa.gov/docs/ico/chapter/327C.4.pdf" Type="http://schemas.openxmlformats.org/officeDocument/2006/relationships/hyperlink" Id="rId7"/>
    <Relationship TargetMode="External" Target="https://www.legis.iowa.gov/docs/ico/chapter/327C.4.pdf" Type="http://schemas.openxmlformats.org/officeDocument/2006/relationships/hyperlink" Id="rId8"/>
    <Relationship TargetMode="External" Target="https://www.legis.iowa.gov/docs/ico/chapter/327F.38.pdf" Type="http://schemas.openxmlformats.org/officeDocument/2006/relationships/hyperlink" Id="rId9"/>
    <Relationship TargetMode="External" Target="https://www.legis.iowa.gov/docs/ico/chapter/327F.39.pdf" Type="http://schemas.openxmlformats.org/officeDocument/2006/relationships/hyperlink" Id="rId10"/>
    <Relationship TargetMode="External" Target="https://www.legis.iowa.gov/docs/iac/rule/661.22.1.pdf" Type="http://schemas.openxmlformats.org/officeDocument/2006/relationships/hyperlink" Id="rId11"/>
    <Relationship TargetMode="External" Target="https://www.legis.iowa.gov/docs/ico/chapter/327F.39.pdf" Type="http://schemas.openxmlformats.org/officeDocument/2006/relationships/hyperlink" Id="rId12"/>
    <Relationship TargetMode="External" Target="https://www.legis.iowa.gov/docs/ico/chapter/327F.39.pdf" Type="http://schemas.openxmlformats.org/officeDocument/2006/relationships/hyperlink" Id="rId13"/>
    <Relationship TargetMode="External" Target="https://www.legis.iowa.gov/docs/ico/chapter/327F.39.pdf" Type="http://schemas.openxmlformats.org/officeDocument/2006/relationships/hyperlink" Id="rId14"/>
    <Relationship TargetMode="External" Target="https://www.legis.iowa.gov/docs/ico/chapter/321.449A.pdf" Type="http://schemas.openxmlformats.org/officeDocument/2006/relationships/hyperlink" Id="rId15"/>
    <Relationship TargetMode="External" Target="https://www.legis.iowa.gov/docs/ico/chapter/327F.39.pdf" Type="http://schemas.openxmlformats.org/officeDocument/2006/relationships/hyperlink" Id="rId16"/>
    <Relationship TargetMode="External" Target="https://www.legis.iowa.gov/docs/ico/chapter/321.449A.pdf" Type="http://schemas.openxmlformats.org/officeDocument/2006/relationships/hyperlink" Id="rId17"/>
    <Relationship TargetMode="External" Target="https://www.legis.iowa.gov/docs/ico/chapter/327F.39.pdf" Type="http://schemas.openxmlformats.org/officeDocument/2006/relationships/hyperlink" Id="rId18"/>
    <Relationship TargetMode="External" Target="https://www.legis.iowa.gov/docs/ico/chapter/327F.39.pdf" Type="http://schemas.openxmlformats.org/officeDocument/2006/relationships/hyperlink" Id="rId19"/>
    <Relationship TargetMode="External" Target="https://www.legis.iowa.gov/docs/ico/chapter/327F.39.pdf" Type="http://schemas.openxmlformats.org/officeDocument/2006/relationships/hyperlink" Id="rId20"/>
    <Relationship TargetMode="External" Target="https://www.legis.iowa.gov/docs/ico/chapter/321.449A.pdf" Type="http://schemas.openxmlformats.org/officeDocument/2006/relationships/hyperlink" Id="rId21"/>
    <Relationship TargetMode="External" Target="https://www.legis.iowa.gov/docs/ico/chapter/327F.39.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