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717</w:t>
      </w:r>
    </w:p>
    <w:p>
      <w:pPr>
        <w:spacing w:before="0" w:after="0"/>
        <w:ind w:left="120"/>
        <w:jc w:val="center"/>
      </w:pPr>
      <w:r>
        <w:rPr>
          <w:rFonts w:ascii="Times New Roman" w:hAnsi="Times New Roman"/>
          <w:b w:val="false"/>
          <w:i w:val="false"/>
          <w:color w:val="000000"/>
          <w:sz w:val="21"/>
        </w:rPr>
        <w:t>GENERAL AVIATION VERTICAL INFRASTRUCTURE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761—717.1</w:t>
      </w:r>
      <w:r>
        <w:rPr>
          <w:rFonts w:ascii="Times New Roman" w:hAnsi="Times New Roman"/>
          <w:b/>
          <w:i w:val="false"/>
          <w:color w:val="000000"/>
          <w:sz w:val="22"/>
        </w:rPr>
        <w:t xml:space="preserve">(328)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general aviation vertical infrastructure program is to provide funding for improvements to the vertical infrastructure at Iowa’s general aviation airports.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761—717.2</w:t>
      </w:r>
      <w:r>
        <w:rPr>
          <w:rFonts w:ascii="Times New Roman" w:hAnsi="Times New Roman"/>
          <w:b/>
          <w:i w:val="false"/>
          <w:color w:val="000000"/>
          <w:sz w:val="22"/>
        </w:rPr>
        <w:t xml:space="preserve">(328)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761—700.1</w:t>
        </w:r>
      </w:hyperlink>
      <w:r>
        <w:rPr>
          <w:rFonts w:ascii="Times New Roman" w:hAnsi="Times New Roman"/>
          <w:b w:val="false"/>
          <w:i w:val="false"/>
          <w:color w:val="000000"/>
          <w:sz w:val="22"/>
        </w:rPr>
        <w:t>(328) apply to these rules.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infrastructure”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8.57(5)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3880C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761—717.3</w:t>
      </w:r>
      <w:r>
        <w:rPr>
          <w:rFonts w:ascii="Times New Roman" w:hAnsi="Times New Roman"/>
          <w:b/>
          <w:i w:val="false"/>
          <w:color w:val="000000"/>
          <w:sz w:val="22"/>
        </w:rPr>
        <w:t xml:space="preserve">(328) </w:t>
      </w:r>
      <w:r>
        <w:rPr>
          <w:rFonts w:ascii="Times New Roman" w:hAnsi="Times New Roman"/>
          <w:b/>
          <w:i w:val="false"/>
          <w:color w:val="000000"/>
          <w:sz w:val="22"/>
        </w:rPr>
        <w:t xml:space="preserve">Information and forms. </w:t>
      </w:r>
      <w:r>
        <w:rPr>
          <w:rFonts w:ascii="Times New Roman" w:hAnsi="Times New Roman"/>
          <w:b w:val="false"/>
          <w:i w:val="false"/>
          <w:color w:val="000000"/>
          <w:sz w:val="22"/>
        </w:rPr>
        <w:t xml:space="preserve">Program information, instructions, and application forms may be obtained from the department’s website at </w:t>
      </w:r>
      <w:hyperlink r:id="rId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Requests for such materials or assistance may also be made by calling the office of aviation at (515)239-1048. Submission of application materials shall be made according to the annual application instructions included in the application materials. The office of aviation mailing address is: Office of Aviation, Iowa Department of Transportation, 800 Lincoln Way, Ames, Iowa 50010.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3880C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761—717.4</w:t>
      </w:r>
      <w:r>
        <w:rPr>
          <w:rFonts w:ascii="Times New Roman" w:hAnsi="Times New Roman"/>
          <w:b/>
          <w:i w:val="false"/>
          <w:color w:val="000000"/>
          <w:sz w:val="22"/>
        </w:rPr>
        <w:t xml:space="preserve">(328) </w:t>
      </w:r>
      <w:r>
        <w:rPr>
          <w:rFonts w:ascii="Times New Roman" w:hAnsi="Times New Roman"/>
          <w:b/>
          <w:i w:val="false"/>
          <w:color w:val="000000"/>
          <w:sz w:val="22"/>
        </w:rPr>
        <w:t xml:space="preserve">Applicant eligibility. </w:t>
      </w:r>
      <w:r>
        <w:rPr>
          <w:rFonts w:ascii="Times New Roman" w:hAnsi="Times New Roman"/>
          <w:b w:val="false"/>
          <w:i w:val="false"/>
          <w:color w:val="000000"/>
          <w:sz w:val="22"/>
        </w:rPr>
        <w:t xml:space="preserve">An airport sponsor, as defined in rule </w:t>
      </w:r>
      <w:hyperlink r:id="rId9">
        <w:r>
          <w:rPr>
            <w:rStyle w:val="Hyperlink"/>
            <w:rFonts w:ascii="Times New Roman" w:hAnsi="Times New Roman"/>
            <w:b w:val="false"/>
            <w:i w:val="false"/>
            <w:color w:val="000000"/>
            <w:sz w:val="22"/>
          </w:rPr>
          <w:t>761—700.1</w:t>
        </w:r>
      </w:hyperlink>
      <w:r>
        <w:rPr>
          <w:rFonts w:ascii="Times New Roman" w:hAnsi="Times New Roman"/>
          <w:b w:val="false"/>
          <w:i w:val="false"/>
          <w:color w:val="000000"/>
          <w:sz w:val="22"/>
        </w:rPr>
        <w:t>(328), of a publicly owned general aviation airport is eligible to apply for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761—717.5</w:t>
      </w:r>
      <w:r>
        <w:rPr>
          <w:rFonts w:ascii="Times New Roman" w:hAnsi="Times New Roman"/>
          <w:b/>
          <w:i w:val="false"/>
          <w:color w:val="000000"/>
          <w:sz w:val="22"/>
        </w:rPr>
        <w:t xml:space="preserve">(328) </w:t>
      </w:r>
      <w:r>
        <w:rPr>
          <w:rFonts w:ascii="Times New Roman" w:hAnsi="Times New Roman"/>
          <w:b/>
          <w:i w:val="false"/>
          <w:color w:val="000000"/>
          <w:sz w:val="22"/>
        </w:rPr>
        <w:t xml:space="preserve">Eligible project activities. </w:t>
      </w:r>
      <w:r>
        <w:rPr>
          <w:rFonts w:ascii="Times New Roman" w:hAnsi="Times New Roman"/>
          <w:b w:val="false"/>
          <w:i w:val="false"/>
          <w:color w:val="000000"/>
          <w:sz w:val="22"/>
        </w:rPr>
        <w:t>Activities that are eligible for reimbursement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717.5(1)</w:t>
      </w:r>
      <w:r>
        <w:rPr>
          <w:rFonts w:ascii="Times New Roman" w:hAnsi="Times New Roman"/>
          <w:b w:val="false"/>
          <w:i w:val="false"/>
          <w:color w:val="000000"/>
          <w:sz w:val="22"/>
        </w:rPr>
        <w:t> </w:t>
      </w:r>
      <w:r>
        <w:rPr>
          <w:rFonts w:ascii="Times New Roman" w:hAnsi="Times New Roman"/>
          <w:b w:val="false"/>
          <w:i w:val="false"/>
          <w:color w:val="000000"/>
          <w:sz w:val="22"/>
        </w:rPr>
        <w:t>Hangar renovation or construction including associated design, land acquisition, grading and foundation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717.5(2)</w:t>
      </w:r>
      <w:r>
        <w:rPr>
          <w:rFonts w:ascii="Times New Roman" w:hAnsi="Times New Roman"/>
          <w:b w:val="false"/>
          <w:i w:val="false"/>
          <w:color w:val="000000"/>
          <w:sz w:val="22"/>
        </w:rPr>
        <w:t> </w:t>
      </w:r>
      <w:r>
        <w:rPr>
          <w:rFonts w:ascii="Times New Roman" w:hAnsi="Times New Roman"/>
          <w:b w:val="false"/>
          <w:i w:val="false"/>
          <w:color w:val="000000"/>
          <w:sz w:val="22"/>
        </w:rPr>
        <w:t>Fuel facilities including associated design, land acquisition, grading and foundation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717.5(3)</w:t>
      </w:r>
      <w:r>
        <w:rPr>
          <w:rFonts w:ascii="Times New Roman" w:hAnsi="Times New Roman"/>
          <w:b w:val="false"/>
          <w:i w:val="false"/>
          <w:color w:val="000000"/>
          <w:sz w:val="22"/>
        </w:rPr>
        <w:t> </w:t>
      </w:r>
      <w:r>
        <w:rPr>
          <w:rFonts w:ascii="Times New Roman" w:hAnsi="Times New Roman"/>
          <w:b w:val="false"/>
          <w:i w:val="false"/>
          <w:color w:val="000000"/>
          <w:sz w:val="22"/>
        </w:rPr>
        <w:t>Terminal building renovation or construction including associated design, land acquisition, grading and foundation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717.5(4)</w:t>
      </w:r>
      <w:r>
        <w:rPr>
          <w:rFonts w:ascii="Times New Roman" w:hAnsi="Times New Roman"/>
          <w:b w:val="false"/>
          <w:i w:val="false"/>
          <w:color w:val="000000"/>
          <w:sz w:val="22"/>
        </w:rPr>
        <w:t> </w:t>
      </w:r>
      <w:r>
        <w:rPr>
          <w:rFonts w:ascii="Times New Roman" w:hAnsi="Times New Roman"/>
          <w:b w:val="false"/>
          <w:i w:val="false"/>
          <w:color w:val="000000"/>
          <w:sz w:val="22"/>
        </w:rPr>
        <w:t>Relocating an existing hangar, terminal building or fuel facility to correct violations of federal safety or design standards. Work shall include all associated design, land acquisition, grading and foundation work.</w:t>
      </w:r>
    </w:p>
    <w:p>
      <w:pPr>
        <w:spacing w:before="210" w:after="0"/>
        <w:ind w:left="120"/>
        <w:jc w:val="both"/>
      </w:pPr>
      <w:r>
        <w:rPr>
          <w:rFonts w:ascii="Times New Roman" w:hAnsi="Times New Roman"/>
          <w:b/>
          <w:i w:val="false"/>
          <w:color w:val="000000"/>
          <w:sz w:val="22"/>
        </w:rPr>
        <w:t>761—717.6</w:t>
      </w:r>
      <w:r>
        <w:rPr>
          <w:rFonts w:ascii="Times New Roman" w:hAnsi="Times New Roman"/>
          <w:b/>
          <w:i w:val="false"/>
          <w:color w:val="000000"/>
          <w:sz w:val="22"/>
        </w:rPr>
        <w:t xml:space="preserve">(328) </w:t>
      </w:r>
      <w:r>
        <w:rPr>
          <w:rFonts w:ascii="Times New Roman" w:hAnsi="Times New Roman"/>
          <w:b/>
          <w:i w:val="false"/>
          <w:color w:val="000000"/>
          <w:sz w:val="22"/>
        </w:rPr>
        <w:t xml:space="preserve">Ineligible project activities.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11/14/01</w:t>
      </w:r>
      <w:r>
        <w:rPr>
          <w:rFonts w:ascii="Times New Roman" w:hAnsi="Times New Roman"/>
          <w:b w:val="false"/>
          <w:i w:val="false"/>
          <w:color w:val="000000"/>
          <w:sz w:val="22"/>
        </w:rPr>
        <w:t>, effective 12/19/01.</w:t>
      </w:r>
    </w:p>
    <w:p>
      <w:pPr>
        <w:spacing w:before="0" w:after="0"/>
        <w:ind w:left="120"/>
        <w:jc w:val="both"/>
      </w:pPr>
      <w:r>
        <w:rPr>
          <w:rFonts w:ascii="Times New Roman" w:hAnsi="Times New Roman"/>
          <w:b/>
          <w:i w:val="false"/>
          <w:color w:val="000000"/>
          <w:sz w:val="22"/>
        </w:rPr>
        <w:t>761—717.7</w:t>
      </w:r>
      <w:r>
        <w:rPr>
          <w:rFonts w:ascii="Times New Roman" w:hAnsi="Times New Roman"/>
          <w:b/>
          <w:i w:val="false"/>
          <w:color w:val="000000"/>
          <w:sz w:val="22"/>
        </w:rPr>
        <w:t xml:space="preserve">(328) </w:t>
      </w:r>
      <w:r>
        <w:rPr>
          <w:rFonts w:ascii="Times New Roman" w:hAnsi="Times New Roman"/>
          <w:b/>
          <w:i w:val="false"/>
          <w:color w:val="000000"/>
          <w:sz w:val="22"/>
        </w:rPr>
        <w:t xml:space="preserve">Funding. </w:t>
      </w:r>
      <w:r>
        <w:rPr>
          <w:rFonts w:ascii="Times New Roman" w:hAnsi="Times New Roman"/>
          <w:b w:val="false"/>
          <w:i w:val="false"/>
          <w:color w:val="000000"/>
          <w:sz w:val="22"/>
        </w:rPr>
        <w:t>The department establishes the maximum percentage of state share of eligible projects. The department may annually set a maximum dollar amount per award. Funding criteria are included in application instructions provided to airport sponsors.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761—717.8</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priorities. </w:t>
      </w:r>
      <w:r>
        <w:rPr>
          <w:rFonts w:ascii="Times New Roman" w:hAnsi="Times New Roman"/>
          <w:b w:val="false"/>
          <w:i w:val="false"/>
          <w:color w:val="000000"/>
          <w:sz w:val="22"/>
        </w:rPr>
        <w:t>The department shall consider the following in project selection: airport role and objectives defined in the state aviation system plan; demonstration of increased aeronautical activity; justification for the project; local participation; and multijurisdictional support of the airport.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761—717.9</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717.9(1)</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available application instructions and forms to each publicly owned airport in Iowa. Project applications shall be submitted to the department as directed in the annual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717.9(2)</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the information and forms identified in the annual application instructions.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761—717.10</w:t>
      </w:r>
      <w:r>
        <w:rPr>
          <w:rFonts w:ascii="Times New Roman" w:hAnsi="Times New Roman"/>
          <w:b/>
          <w:i w:val="false"/>
          <w:color w:val="000000"/>
          <w:sz w:val="22"/>
        </w:rPr>
        <w:t xml:space="preserve">(328) </w:t>
      </w:r>
      <w:r>
        <w:rPr>
          <w:rFonts w:ascii="Times New Roman" w:hAnsi="Times New Roman"/>
          <w:b/>
          <w:i w:val="false"/>
          <w:color w:val="000000"/>
          <w:sz w:val="22"/>
        </w:rPr>
        <w:t xml:space="preserve">Review and approval. </w:t>
      </w:r>
      <w:r>
        <w:rPr>
          <w:rFonts w:ascii="Times New Roman" w:hAnsi="Times New Roman"/>
          <w:b w:val="false"/>
          <w:i w:val="false"/>
          <w:color w:val="000000"/>
          <w:sz w:val="22"/>
        </w:rPr>
        <w:t>Department staff shall review project applications and submit recommendations to the transportation commission. The commission is responsible for approving the projects to be funded.</w:t>
      </w:r>
    </w:p>
    <w:p>
      <w:pPr>
        <w:spacing w:before="0" w:after="0"/>
        <w:ind w:left="120"/>
        <w:jc w:val="both"/>
      </w:pPr>
      <w:r>
        <w:rPr>
          <w:rFonts w:ascii="Times New Roman" w:hAnsi="Times New Roman"/>
          <w:b/>
          <w:i w:val="false"/>
          <w:color w:val="000000"/>
          <w:sz w:val="22"/>
        </w:rPr>
        <w:t>761—717.11</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717.11(1)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After a project has been approved by the commission, the department shall enter into an agreement with the airport sponsor that specifies the responsibilities of the sponsor. The agreement shall specify the amount of state funds, the contract period, the payment process, and the responsibilities for project planning, development, and reporting. The department may inspect the improvement for compliance with the agreement and may audit all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717.11(2)</w:t>
      </w:r>
      <w:r>
        <w:rPr>
          <w:rFonts w:ascii="Times New Roman" w:hAnsi="Times New Roman"/>
          <w:b w:val="false"/>
          <w:i w:val="false"/>
          <w:color w:val="000000"/>
          <w:sz w:val="22"/>
        </w:rPr>
        <w:t> </w:t>
      </w:r>
      <w:r>
        <w:rPr>
          <w:rFonts w:ascii="Times New Roman" w:hAnsi="Times New Roman"/>
          <w:b w:val="false"/>
          <w:i/>
          <w:color w:val="000000"/>
          <w:sz w:val="22"/>
        </w:rPr>
        <w:t xml:space="preserve">Payments. </w:t>
      </w:r>
      <w:r>
        <w:rPr>
          <w:rFonts w:ascii="Times New Roman" w:hAnsi="Times New Roman"/>
          <w:b w:val="false"/>
          <w:i w:val="false"/>
          <w:color w:val="000000"/>
          <w:sz w:val="22"/>
        </w:rPr>
        <w:t>Payments to the airport sponsor for eligible project costs shall be made on a cost reimbursement basis. Engineering fees are an eligible project expense and shall be reimbursed in compliance with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8.57(5)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328.12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1/20/00, Notice 12/15/99—published 2/9/00, effective 3/15/00]</w:t>
      </w:r>
    </w:p>
    <w:p>
      <w:pPr>
        <w:spacing w:before="0" w:after="0"/>
        <w:ind w:left="120"/>
        <w:jc w:val="center"/>
      </w:pPr>
      <w:r>
        <w:rPr>
          <w:rFonts w:ascii="Times New Roman" w:hAnsi="Times New Roman"/>
          <w:b w:val="false"/>
          <w:i w:val="false"/>
          <w:color w:val="000000"/>
          <w:sz w:val="21"/>
        </w:rPr>
        <w:t>[Filed 10/24/01, Notice 9/19/01—published 11/14/01, effective 12/19/01]</w:t>
      </w:r>
    </w:p>
    <w:p>
      <w:pPr>
        <w:spacing w:before="0" w:after="0"/>
        <w:ind w:left="120"/>
        <w:jc w:val="center"/>
      </w:pPr>
      <w:r>
        <w:rPr>
          <w:rFonts w:ascii="Times New Roman" w:hAnsi="Times New Roman"/>
          <w:b w:val="false"/>
          <w:i w:val="false"/>
          <w:color w:val="000000"/>
          <w:sz w:val="21"/>
        </w:rPr>
        <w:t>[Filed 12/14/05, Notice 11/9/05—published 1/4/06, effective 2/8/06]</w:t>
      </w:r>
    </w:p>
    <w:p>
      <w:pPr>
        <w:spacing w:before="0" w:after="0"/>
        <w:ind w:left="120"/>
        <w:jc w:val="center"/>
      </w:pPr>
      <w:r>
        <w:rPr>
          <w:rFonts w:ascii="Times New Roman" w:hAnsi="Times New Roman"/>
          <w:b w:val="false"/>
          <w:i w:val="false"/>
          <w:color w:val="000000"/>
          <w:sz w:val="21"/>
        </w:rPr>
        <w:t>[Filed ARC 1351C</w:t>
      </w:r>
      <w:r>
        <w:rPr>
          <w:rFonts w:ascii="Times New Roman" w:hAnsi="Times New Roman"/>
          <w:b w:val="false"/>
          <w:i w:val="false"/>
          <w:color w:val="000000"/>
          <w:sz w:val="21"/>
        </w:rPr>
        <w:t xml:space="preserve"> (Notice ARC 1270C,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3880C</w:t>
      </w:r>
      <w:r>
        <w:rPr>
          <w:rFonts w:ascii="Times New Roman" w:hAnsi="Times New Roman"/>
          <w:b w:val="false"/>
          <w:i w:val="false"/>
          <w:color w:val="000000"/>
          <w:sz w:val="21"/>
        </w:rPr>
        <w:t xml:space="preserve"> (Notice ARC 3755C, IAB 4/25/18)</w:t>
      </w:r>
      <w:r>
        <w:rPr>
          <w:rFonts w:ascii="Times New Roman" w:hAnsi="Times New Roman"/>
          <w:b w:val="false"/>
          <w:i w:val="false"/>
          <w:color w:val="000000"/>
          <w:sz w:val="21"/>
        </w:rPr>
        <w:t>, IAB 7/4/18, effective 8/8/18]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8.1.pdf" Type="http://schemas.openxmlformats.org/officeDocument/2006/relationships/hyperlink" Id="rId5"/>
    <Relationship TargetMode="External" Target="https://www.legis.iowa.gov/docs/iac/rule/761.700.1.pdf" Type="http://schemas.openxmlformats.org/officeDocument/2006/relationships/hyperlink" Id="rId6"/>
    <Relationship TargetMode="External" Target="https://www.legis.iowa.gov/docs/ico/chapter/8.57.pdf" Type="http://schemas.openxmlformats.org/officeDocument/2006/relationships/hyperlink" Id="rId7"/>
    <Relationship TargetMode="External" Target="http://www.iowadot.gov" Type="http://schemas.openxmlformats.org/officeDocument/2006/relationships/hyperlink" Id="rId8"/>
    <Relationship TargetMode="External" Target="https://www.legis.iowa.gov/docs/iac/rule/761.700.1.pdf" Type="http://schemas.openxmlformats.org/officeDocument/2006/relationships/hyperlink" Id="rId9"/>
    <Relationship TargetMode="External" Target="https://www.legis.iowa.gov/docs/ico/chapter/8.57.pdf" Type="http://schemas.openxmlformats.org/officeDocument/2006/relationships/hyperlink" Id="rId10"/>
    <Relationship TargetMode="External" Target="https://www.legis.iowa.gov/docs/ico/chapter/328.1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