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716</w:t>
      </w:r>
    </w:p>
    <w:p>
      <w:pPr>
        <w:spacing w:before="0" w:after="0"/>
        <w:ind w:left="120"/>
        <w:jc w:val="center"/>
      </w:pPr>
      <w:r>
        <w:rPr>
          <w:rFonts w:ascii="Times New Roman" w:hAnsi="Times New Roman"/>
          <w:b w:val="false"/>
          <w:i w:val="false"/>
          <w:color w:val="000000"/>
          <w:sz w:val="21"/>
        </w:rPr>
        <w:t>COMMERCIAL SERVICE VERTICAL INFRASTRUCTURE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761—716.1</w:t>
      </w:r>
      <w:r>
        <w:rPr>
          <w:rFonts w:ascii="Times New Roman" w:hAnsi="Times New Roman"/>
          <w:b/>
          <w:i w:val="false"/>
          <w:color w:val="000000"/>
          <w:sz w:val="22"/>
        </w:rPr>
        <w:t xml:space="preserve">(328)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commercial air service vertical infrastructure program is to provide funding for improvements to the vertical infrastructure at Iowa’s commercial air service airports. The source of funds is an appropriation from the Iowa general assembly.</w:t>
      </w:r>
    </w:p>
    <w:p>
      <w:pPr>
        <w:spacing w:before="0" w:after="0"/>
        <w:ind w:left="120"/>
        <w:jc w:val="both"/>
      </w:pPr>
      <w:r>
        <w:rPr>
          <w:rFonts w:ascii="Times New Roman" w:hAnsi="Times New Roman"/>
          <w:b/>
          <w:i w:val="false"/>
          <w:color w:val="000000"/>
          <w:sz w:val="22"/>
        </w:rPr>
        <w:t>761—716.2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761—700.1</w:t>
        </w:r>
      </w:hyperlink>
      <w:r>
        <w:rPr>
          <w:rFonts w:ascii="Times New Roman" w:hAnsi="Times New Roman"/>
          <w:b w:val="false"/>
          <w:i w:val="false"/>
          <w:color w:val="000000"/>
          <w:sz w:val="22"/>
        </w:rPr>
        <w:t>(328) apply to these rules.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infrastructure”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8.57(5)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3880C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761—716.3</w:t>
      </w:r>
      <w:r>
        <w:rPr>
          <w:rFonts w:ascii="Times New Roman" w:hAnsi="Times New Roman"/>
          <w:b/>
          <w:i w:val="false"/>
          <w:color w:val="000000"/>
          <w:sz w:val="22"/>
        </w:rPr>
        <w:t xml:space="preserve">(328)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Program information, instructions, and forms are available on the department’s website at </w:t>
      </w:r>
      <w:hyperlink r:id="rId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Requests for such materials or assistance may also be made by calling the office of aviation at (515)239-1048. Submission of application materials shall be made according to the annual application instructions included in the application materials. The office of aviation mailing address is: Office of Aviation,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3880C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761—716.4</w:t>
      </w:r>
      <w:r>
        <w:rPr>
          <w:rFonts w:ascii="Times New Roman" w:hAnsi="Times New Roman"/>
          <w:b/>
          <w:i w:val="false"/>
          <w:color w:val="000000"/>
          <w:sz w:val="22"/>
        </w:rPr>
        <w:t xml:space="preserve">(328) </w:t>
      </w:r>
      <w:r>
        <w:rPr>
          <w:rFonts w:ascii="Times New Roman" w:hAnsi="Times New Roman"/>
          <w:b/>
          <w:i w:val="false"/>
          <w:color w:val="000000"/>
          <w:sz w:val="22"/>
        </w:rPr>
        <w:t xml:space="preserve">Eligible airports. </w:t>
      </w:r>
      <w:r>
        <w:rPr>
          <w:rFonts w:ascii="Times New Roman" w:hAnsi="Times New Roman"/>
          <w:b w:val="false"/>
          <w:i w:val="false"/>
          <w:color w:val="000000"/>
          <w:sz w:val="22"/>
        </w:rPr>
        <w:t>Eligible airports are those Iowa airports currently receiving scheduled commercial air service.</w:t>
      </w:r>
    </w:p>
    <w:p>
      <w:pPr>
        <w:spacing w:before="0" w:after="0"/>
        <w:ind w:left="120"/>
        <w:jc w:val="both"/>
      </w:pPr>
      <w:r>
        <w:rPr>
          <w:rFonts w:ascii="Times New Roman" w:hAnsi="Times New Roman"/>
          <w:b/>
          <w:i w:val="false"/>
          <w:color w:val="000000"/>
          <w:sz w:val="22"/>
        </w:rPr>
        <w:t>761—716.5</w:t>
      </w:r>
      <w:r>
        <w:rPr>
          <w:rFonts w:ascii="Times New Roman" w:hAnsi="Times New Roman"/>
          <w:b/>
          <w:i w:val="false"/>
          <w:color w:val="000000"/>
          <w:sz w:val="22"/>
        </w:rPr>
        <w:t xml:space="preserve">(328) </w:t>
      </w:r>
      <w:r>
        <w:rPr>
          <w:rFonts w:ascii="Times New Roman" w:hAnsi="Times New Roman"/>
          <w:b/>
          <w:i w:val="false"/>
          <w:color w:val="000000"/>
          <w:sz w:val="22"/>
        </w:rPr>
        <w:t xml:space="preserve">Eligible project activities. </w:t>
      </w:r>
      <w:r>
        <w:rPr>
          <w:rFonts w:ascii="Times New Roman" w:hAnsi="Times New Roman"/>
          <w:b w:val="false"/>
          <w:i w:val="false"/>
          <w:color w:val="000000"/>
          <w:sz w:val="22"/>
        </w:rPr>
        <w:t>Activities that are eligible for reimbursement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716.5(1)</w:t>
      </w:r>
      <w:r>
        <w:rPr>
          <w:rFonts w:ascii="Times New Roman" w:hAnsi="Times New Roman"/>
          <w:b w:val="false"/>
          <w:i w:val="false"/>
          <w:color w:val="000000"/>
          <w:sz w:val="22"/>
        </w:rPr>
        <w:t> </w:t>
      </w:r>
      <w:r>
        <w:rPr>
          <w:rFonts w:ascii="Times New Roman" w:hAnsi="Times New Roman"/>
          <w:b w:val="false"/>
          <w:i w:val="false"/>
          <w:color w:val="000000"/>
          <w:sz w:val="22"/>
        </w:rPr>
        <w:t>Terminal building construction or renovation including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716.5(2)</w:t>
      </w:r>
      <w:r>
        <w:rPr>
          <w:rFonts w:ascii="Times New Roman" w:hAnsi="Times New Roman"/>
          <w:b w:val="false"/>
          <w:i w:val="false"/>
          <w:color w:val="000000"/>
          <w:sz w:val="22"/>
        </w:rPr>
        <w:t> </w:t>
      </w:r>
      <w:r>
        <w:rPr>
          <w:rFonts w:ascii="Times New Roman" w:hAnsi="Times New Roman"/>
          <w:b w:val="false"/>
          <w:i w:val="false"/>
          <w:color w:val="000000"/>
          <w:sz w:val="22"/>
        </w:rPr>
        <w:t>Hangar construction or renovation including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716.5(3)</w:t>
      </w:r>
      <w:r>
        <w:rPr>
          <w:rFonts w:ascii="Times New Roman" w:hAnsi="Times New Roman"/>
          <w:b w:val="false"/>
          <w:i w:val="false"/>
          <w:color w:val="000000"/>
          <w:sz w:val="22"/>
        </w:rPr>
        <w:t> </w:t>
      </w:r>
      <w:r>
        <w:rPr>
          <w:rFonts w:ascii="Times New Roman" w:hAnsi="Times New Roman"/>
          <w:b w:val="false"/>
          <w:i w:val="false"/>
          <w:color w:val="000000"/>
          <w:sz w:val="22"/>
        </w:rPr>
        <w:t>Maintenance facility building construction or renovation including, but not limited to, associated design, land acquisition, grading and foundation work.</w:t>
      </w:r>
    </w:p>
    <w:p>
      <w:pPr>
        <w:spacing w:before="210" w:after="0"/>
        <w:ind w:left="120"/>
        <w:jc w:val="both"/>
      </w:pPr>
      <w:r>
        <w:rPr>
          <w:rFonts w:ascii="Times New Roman" w:hAnsi="Times New Roman"/>
          <w:b/>
          <w:i w:val="false"/>
          <w:color w:val="000000"/>
          <w:sz w:val="22"/>
        </w:rPr>
        <w:t>761—716.6</w:t>
      </w:r>
      <w:r>
        <w:rPr>
          <w:rFonts w:ascii="Times New Roman" w:hAnsi="Times New Roman"/>
          <w:b/>
          <w:i w:val="false"/>
          <w:color w:val="000000"/>
          <w:sz w:val="22"/>
        </w:rPr>
        <w:t xml:space="preserve">(328) </w:t>
      </w:r>
      <w:r>
        <w:rPr>
          <w:rFonts w:ascii="Times New Roman" w:hAnsi="Times New Roman"/>
          <w:b/>
          <w:i w:val="false"/>
          <w:color w:val="000000"/>
          <w:sz w:val="22"/>
        </w:rPr>
        <w:t xml:space="preserve">Ineligible project activities.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i w:val="false"/>
          <w:color w:val="000000"/>
          <w:sz w:val="22"/>
        </w:rPr>
        <w:t>761—716.7</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application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716.7(1)</w:t>
      </w:r>
      <w:r>
        <w:rPr>
          <w:rFonts w:ascii="Times New Roman" w:hAnsi="Times New Roman"/>
          <w:b w:val="false"/>
          <w:i w:val="false"/>
          <w:color w:val="000000"/>
          <w:sz w:val="22"/>
        </w:rPr>
        <w:t> </w:t>
      </w:r>
      <w:r>
        <w:rPr>
          <w:rFonts w:ascii="Times New Roman" w:hAnsi="Times New Roman"/>
          <w:b w:val="false"/>
          <w:i w:val="false"/>
          <w:color w:val="000000"/>
          <w:sz w:val="22"/>
        </w:rPr>
        <w:t>Each airport shall submit an application with the project or projects it intends to accomplish with the allocated funding. The completed application shall include the information and documents identified in the application instructions. The complete application shall be submitted to the department according to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projects for eligibility and recommend projects and funding levels to the transportation commission. Funding criteria are included in application instructions provided to airport sponsors.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716.7(3)</w:t>
      </w:r>
      <w:r>
        <w:rPr>
          <w:rFonts w:ascii="Times New Roman" w:hAnsi="Times New Roman"/>
          <w:b w:val="false"/>
          <w:i w:val="false"/>
          <w:color w:val="000000"/>
          <w:sz w:val="22"/>
        </w:rPr>
        <w:t> </w:t>
      </w:r>
      <w:r>
        <w:rPr>
          <w:rFonts w:ascii="Times New Roman" w:hAnsi="Times New Roman"/>
          <w:b w:val="false"/>
          <w:i w:val="false"/>
          <w:color w:val="000000"/>
          <w:sz w:val="22"/>
        </w:rPr>
        <w:t>The transportation commission is responsible for approving the projects to be 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761—716.8</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the projects are approved by the commission, the department shall enter into an agreement with the airport sponsor that specifies the responsibilities of the sponsor. The agreement shall specify the amount of state funds, the contract period, the payment process, and the responsibilities for project planning, development, and reporting. The department may inspect the improvement for compliance with the agreement and may audit all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Payments to the airport sponsor for eligible project costs shall be made on a cost reimbursement basis. Engineering fees are an eligible project expense and shall be reimbursed in compliance with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8.57(5)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328.12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ARC 1351C</w:t>
      </w:r>
      <w:r>
        <w:rPr>
          <w:rFonts w:ascii="Times New Roman" w:hAnsi="Times New Roman"/>
          <w:b w:val="false"/>
          <w:i w:val="false"/>
          <w:color w:val="000000"/>
          <w:sz w:val="21"/>
        </w:rPr>
        <w:t xml:space="preserve"> (Notice ARC 1270C,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3880C</w:t>
      </w:r>
      <w:r>
        <w:rPr>
          <w:rFonts w:ascii="Times New Roman" w:hAnsi="Times New Roman"/>
          <w:b w:val="false"/>
          <w:i w:val="false"/>
          <w:color w:val="000000"/>
          <w:sz w:val="21"/>
        </w:rPr>
        <w:t xml:space="preserve"> (Notice ARC 3755C, IAB 4/25/18)</w:t>
      </w:r>
      <w:r>
        <w:rPr>
          <w:rFonts w:ascii="Times New Roman" w:hAnsi="Times New Roman"/>
          <w:b w:val="false"/>
          <w:i w:val="false"/>
          <w:color w:val="000000"/>
          <w:sz w:val="21"/>
        </w:rPr>
        <w:t>, IAB 7/4/18, effective 8/8/18]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1.pdf" Type="http://schemas.openxmlformats.org/officeDocument/2006/relationships/hyperlink" Id="rId5"/>
    <Relationship TargetMode="External" Target="https://www.legis.iowa.gov/docs/iac/rule/761.700.1.pdf" Type="http://schemas.openxmlformats.org/officeDocument/2006/relationships/hyperlink" Id="rId6"/>
    <Relationship TargetMode="External" Target="https://www.legis.iowa.gov/docs/ico/chapter/8.57.pdf" Type="http://schemas.openxmlformats.org/officeDocument/2006/relationships/hyperlink" Id="rId7"/>
    <Relationship TargetMode="External" Target="http://www.iowadot.gov" Type="http://schemas.openxmlformats.org/officeDocument/2006/relationships/hyperlink" Id="rId8"/>
    <Relationship TargetMode="External" Target="https://www.legis.iowa.gov/docs/ico/chapter/8.57.pdf" Type="http://schemas.openxmlformats.org/officeDocument/2006/relationships/hyperlink" Id="rId9"/>
    <Relationship TargetMode="External" Target="https://www.legis.iowa.gov/docs/ico/chapter/328.1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