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715</w:t>
      </w:r>
    </w:p>
    <w:p>
      <w:pPr>
        <w:spacing w:before="0" w:after="0"/>
        <w:ind w:left="120"/>
        <w:jc w:val="center"/>
      </w:pPr>
      <w:r>
        <w:rPr>
          <w:rFonts w:ascii="Times New Roman" w:hAnsi="Times New Roman"/>
          <w:b w:val="false"/>
          <w:i w:val="false"/>
          <w:color w:val="000000"/>
          <w:sz w:val="21"/>
        </w:rPr>
        <w:t>AIR SERVICE DEVELOPMENT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761—715.1</w:t>
      </w:r>
      <w:r>
        <w:rPr>
          <w:rFonts w:ascii="Times New Roman" w:hAnsi="Times New Roman"/>
          <w:b/>
          <w:i w:val="false"/>
          <w:color w:val="000000"/>
          <w:sz w:val="22"/>
        </w:rPr>
        <w:t xml:space="preserve">(328)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air service development program is to help commercial service airports sustain and enhance available air service options for the traveling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761—715.2</w:t>
      </w:r>
      <w:r>
        <w:rPr>
          <w:rFonts w:ascii="Times New Roman" w:hAnsi="Times New Roman"/>
          <w:b/>
          <w:i w:val="false"/>
          <w:color w:val="000000"/>
          <w:sz w:val="22"/>
        </w:rPr>
        <w:t xml:space="preserve">(328)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761—700.1(328)</w:t>
        </w:r>
      </w:hyperlink>
      <w:r>
        <w:rPr>
          <w:rFonts w:ascii="Times New Roman" w:hAnsi="Times New Roman"/>
          <w:b w:val="false"/>
          <w:i w:val="false"/>
          <w:color w:val="000000"/>
          <w:sz w:val="22"/>
        </w:rPr>
        <w:t xml:space="preserve"> shall apply to this chapter of rules.</w:t>
      </w:r>
    </w:p>
    <w:p>
      <w:pPr>
        <w:spacing w:before="0" w:after="0"/>
        <w:ind w:left="120"/>
        <w:jc w:val="both"/>
      </w:pPr>
      <w:r>
        <w:rPr>
          <w:rFonts w:ascii="Times New Roman" w:hAnsi="Times New Roman"/>
          <w:b/>
          <w:i w:val="false"/>
          <w:color w:val="000000"/>
          <w:sz w:val="22"/>
        </w:rPr>
        <w:t>761—715.3</w:t>
      </w:r>
      <w:r>
        <w:rPr>
          <w:rFonts w:ascii="Times New Roman" w:hAnsi="Times New Roman"/>
          <w:b/>
          <w:i w:val="false"/>
          <w:color w:val="000000"/>
          <w:sz w:val="22"/>
        </w:rPr>
        <w:t xml:space="preserve">(328) </w:t>
      </w:r>
      <w:r>
        <w:rPr>
          <w:rFonts w:ascii="Times New Roman" w:hAnsi="Times New Roman"/>
          <w:b/>
          <w:i w:val="false"/>
          <w:color w:val="000000"/>
          <w:sz w:val="22"/>
        </w:rPr>
        <w:t xml:space="preserve">Eligibility and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715.3(1)</w:t>
      </w:r>
      <w:r>
        <w:rPr>
          <w:rFonts w:ascii="Times New Roman" w:hAnsi="Times New Roman"/>
          <w:b w:val="false"/>
          <w:i w:val="false"/>
          <w:color w:val="000000"/>
          <w:sz w:val="22"/>
        </w:rPr>
        <w:t> </w:t>
      </w:r>
      <w:r>
        <w:rPr>
          <w:rFonts w:ascii="Times New Roman" w:hAnsi="Times New Roman"/>
          <w:b w:val="false"/>
          <w:i w:val="false"/>
          <w:color w:val="000000"/>
          <w:sz w:val="22"/>
        </w:rPr>
        <w:t>Participation in the air service development program shall be limited to airports currently receiving scheduled air service and designated as commercial service airports in the Iowa aviation system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715.3(2)</w:t>
      </w:r>
      <w:r>
        <w:rPr>
          <w:rFonts w:ascii="Times New Roman" w:hAnsi="Times New Roman"/>
          <w:b w:val="false"/>
          <w:i w:val="false"/>
          <w:color w:val="000000"/>
          <w:sz w:val="22"/>
        </w:rPr>
        <w:t> </w:t>
      </w:r>
      <w:r>
        <w:rPr>
          <w:rFonts w:ascii="Times New Roman" w:hAnsi="Times New Roman"/>
          <w:b w:val="false"/>
          <w:i w:val="false"/>
          <w:color w:val="000000"/>
          <w:sz w:val="22"/>
        </w:rPr>
        <w:t>The transportation commission shall establish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amount of funds to be allocated to the air service development program for the program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to be allocated to each airport for sustainment project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funds that will be added to the enhancement fund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715.3(3)</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information, instructions and application forms may be obtained from the department’s website at </w:t>
      </w:r>
      <w:hyperlink r:id="rId7">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Requests for such materials or assistance may also be made by calling the office of aviation at (515)239-1689. Submission of application materials shall be made according to the annual application instructions included in the application materials. The office of aviation mailing address is: Office of Aviation,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715.3(4)</w:t>
      </w:r>
      <w:r>
        <w:rPr>
          <w:rFonts w:ascii="Times New Roman" w:hAnsi="Times New Roman"/>
          <w:b w:val="false"/>
          <w:i w:val="false"/>
          <w:color w:val="000000"/>
          <w:sz w:val="22"/>
        </w:rPr>
        <w:t> </w:t>
      </w:r>
      <w:r>
        <w:rPr>
          <w:rFonts w:ascii="Times New Roman" w:hAnsi="Times New Roman"/>
          <w:b w:val="false"/>
          <w:i w:val="false"/>
          <w:color w:val="000000"/>
          <w:sz w:val="22"/>
        </w:rPr>
        <w:t>Allocated program funds shall be available to each commercial service airport for the time period specified in the application instructions and in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3880C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761—715.4</w:t>
      </w:r>
      <w:r>
        <w:rPr>
          <w:rFonts w:ascii="Times New Roman" w:hAnsi="Times New Roman"/>
          <w:b/>
          <w:i w:val="false"/>
          <w:color w:val="000000"/>
          <w:sz w:val="22"/>
        </w:rPr>
        <w:t xml:space="preserve">(328) </w:t>
      </w:r>
      <w:r>
        <w:rPr>
          <w:rFonts w:ascii="Times New Roman" w:hAnsi="Times New Roman"/>
          <w:b/>
          <w:i w:val="false"/>
          <w:color w:val="000000"/>
          <w:sz w:val="22"/>
        </w:rPr>
        <w:t xml:space="preserve">Eligible project activities. </w:t>
      </w:r>
      <w:r>
        <w:rPr>
          <w:rFonts w:ascii="Times New Roman" w:hAnsi="Times New Roman"/>
          <w:b w:val="false"/>
          <w:i w:val="false"/>
          <w:color w:val="000000"/>
          <w:sz w:val="22"/>
        </w:rPr>
        <w:t>Activities that are eligible for reimbursement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715.4(1)</w:t>
      </w:r>
      <w:r>
        <w:rPr>
          <w:rFonts w:ascii="Times New Roman" w:hAnsi="Times New Roman"/>
          <w:b w:val="false"/>
          <w:i w:val="false"/>
          <w:color w:val="000000"/>
          <w:sz w:val="22"/>
        </w:rPr>
        <w:t> </w:t>
      </w:r>
      <w:r>
        <w:rPr>
          <w:rFonts w:ascii="Times New Roman" w:hAnsi="Times New Roman"/>
          <w:b w:val="false"/>
          <w:i w:val="false"/>
          <w:color w:val="000000"/>
          <w:sz w:val="22"/>
        </w:rPr>
        <w:t>Activities to sustain or improve air service, which include, but are not limited to, marketing, advocacy, educational efforts and leveraging local and federal funds in collection of data, studies or other efforts.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715.4(2)</w:t>
      </w:r>
      <w:r>
        <w:rPr>
          <w:rFonts w:ascii="Times New Roman" w:hAnsi="Times New Roman"/>
          <w:b w:val="false"/>
          <w:i w:val="false"/>
          <w:color w:val="000000"/>
          <w:sz w:val="22"/>
        </w:rPr>
        <w:t> </w:t>
      </w:r>
      <w:r>
        <w:rPr>
          <w:rFonts w:ascii="Times New Roman" w:hAnsi="Times New Roman"/>
          <w:b w:val="false"/>
          <w:i w:val="false"/>
          <w:color w:val="000000"/>
          <w:sz w:val="22"/>
        </w:rPr>
        <w:t>Service enhancement activities, which include, but are not limited to, market entry support, financial incentives and data analysis studies to help airports enhance service on new routes, provide for entry of a new carrier, or achieve an increase in seat capacity on existing routes.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761—715.5</w:t>
      </w:r>
      <w:r>
        <w:rPr>
          <w:rFonts w:ascii="Times New Roman" w:hAnsi="Times New Roman"/>
          <w:b/>
          <w:i w:val="false"/>
          <w:color w:val="000000"/>
          <w:sz w:val="22"/>
        </w:rPr>
        <w:t xml:space="preserve">(328) </w:t>
      </w:r>
      <w:r>
        <w:rPr>
          <w:rFonts w:ascii="Times New Roman" w:hAnsi="Times New Roman"/>
          <w:b/>
          <w:i w:val="false"/>
          <w:color w:val="000000"/>
          <w:sz w:val="22"/>
        </w:rPr>
        <w:t xml:space="preserve">Ineligible project activities.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1351C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3/5/14</w:t>
      </w:r>
      <w:r>
        <w:rPr>
          <w:rFonts w:ascii="Times New Roman" w:hAnsi="Times New Roman"/>
          <w:b w:val="false"/>
          <w:i w:val="false"/>
          <w:color w:val="000000"/>
          <w:sz w:val="22"/>
        </w:rPr>
        <w:t>, effective 4/9/14.</w:t>
      </w:r>
    </w:p>
    <w:p>
      <w:pPr>
        <w:spacing w:before="0" w:after="0"/>
        <w:ind w:left="120"/>
        <w:jc w:val="both"/>
      </w:pPr>
      <w:r>
        <w:rPr>
          <w:rFonts w:ascii="Times New Roman" w:hAnsi="Times New Roman"/>
          <w:b/>
          <w:i w:val="false"/>
          <w:color w:val="000000"/>
          <w:sz w:val="22"/>
        </w:rPr>
        <w:t>761—715.6</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selection criteria. </w:t>
      </w:r>
      <w:r>
        <w:rPr>
          <w:rFonts w:ascii="Times New Roman" w:hAnsi="Times New Roman"/>
          <w:b w:val="false"/>
          <w:i w:val="false"/>
          <w:color w:val="000000"/>
          <w:sz w:val="22"/>
        </w:rPr>
        <w:t>Sustainment projects at each commercial service airport that meet the eligibility criteria may be funded up to the limit of each airport’s allocation. Enhancement project requests that meet program requirements may be funded if funding is available in the enhancement fund pool.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761—715.7</w:t>
      </w:r>
      <w:r>
        <w:rPr>
          <w:rFonts w:ascii="Times New Roman" w:hAnsi="Times New Roman"/>
          <w:b/>
          <w:i w:val="false"/>
          <w:color w:val="000000"/>
          <w:sz w:val="22"/>
        </w:rPr>
        <w:t xml:space="preserve">(328) </w:t>
      </w:r>
      <w:r>
        <w:rPr>
          <w:rFonts w:ascii="Times New Roman" w:hAnsi="Times New Roman"/>
          <w:b/>
          <w:i w:val="false"/>
          <w:color w:val="000000"/>
          <w:sz w:val="22"/>
        </w:rPr>
        <w:t xml:space="preserve">Application. </w:t>
      </w:r>
      <w:r>
        <w:rPr>
          <w:rFonts w:ascii="Times New Roman" w:hAnsi="Times New Roman"/>
          <w:b w:val="false"/>
          <w:i w:val="false"/>
          <w:color w:val="000000"/>
          <w:sz w:val="22"/>
        </w:rPr>
        <w:t>Completed applications shall be submitted to the department and include the information requested in the annual application instructions.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761—715.8</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715.8(1)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After a project application has been approved, the department shall enter into a project agreement with the airport sponsor that specifies the responsibilities of the sponsor. The agreement shall specify the amount of state funds, the contract period, the payment process, and the responsibilities for project planning, development, and reporting. The department may inspect the improvement for compliance with the agreement and may audit all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715.8(2)</w:t>
      </w:r>
      <w:r>
        <w:rPr>
          <w:rFonts w:ascii="Times New Roman" w:hAnsi="Times New Roman"/>
          <w:b w:val="false"/>
          <w:i w:val="false"/>
          <w:color w:val="000000"/>
          <w:sz w:val="22"/>
        </w:rPr>
        <w:t> </w:t>
      </w:r>
      <w:r>
        <w:rPr>
          <w:rFonts w:ascii="Times New Roman" w:hAnsi="Times New Roman"/>
          <w:b w:val="false"/>
          <w:i/>
          <w:color w:val="000000"/>
          <w:sz w:val="22"/>
        </w:rPr>
        <w:t xml:space="preserve">Project payments. </w:t>
      </w:r>
      <w:r>
        <w:rPr>
          <w:rFonts w:ascii="Times New Roman" w:hAnsi="Times New Roman"/>
          <w:b w:val="false"/>
          <w:i w:val="false"/>
          <w:color w:val="000000"/>
          <w:sz w:val="22"/>
        </w:rPr>
        <w:t>Payments to the airport sponsor for eligible project costs shall be made on a cost reimbursement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328.12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9/25/87—published 10/21/87, effective 9/25/87]</w:t>
      </w:r>
    </w:p>
    <w:p>
      <w:pPr>
        <w:spacing w:before="0" w:after="0"/>
        <w:ind w:left="120"/>
        <w:jc w:val="center"/>
      </w:pPr>
      <w:r>
        <w:rPr>
          <w:rFonts w:ascii="Times New Roman" w:hAnsi="Times New Roman"/>
          <w:b w:val="false"/>
          <w:i w:val="false"/>
          <w:color w:val="000000"/>
          <w:sz w:val="21"/>
        </w:rPr>
        <w:t>[Filed 12/3/87, Notice 10/21/87—published 12/30/87, effective 2/3/88]</w:t>
      </w:r>
    </w:p>
    <w:p>
      <w:pPr>
        <w:spacing w:before="0" w:after="0"/>
        <w:ind w:left="120"/>
        <w:jc w:val="center"/>
      </w:pPr>
      <w:r>
        <w:rPr>
          <w:rFonts w:ascii="Times New Roman" w:hAnsi="Times New Roman"/>
          <w:b w:val="false"/>
          <w:i w:val="false"/>
          <w:color w:val="000000"/>
          <w:sz w:val="21"/>
        </w:rPr>
        <w:t>[Filed emergency 5/25/88—published 6/15/88, effective 7/1/88]</w:t>
      </w:r>
    </w:p>
    <w:p>
      <w:pPr>
        <w:spacing w:before="0" w:after="0"/>
        <w:ind w:left="120"/>
        <w:jc w:val="center"/>
      </w:pPr>
      <w:r>
        <w:rPr>
          <w:rFonts w:ascii="Times New Roman" w:hAnsi="Times New Roman"/>
          <w:b w:val="false"/>
          <w:i w:val="false"/>
          <w:color w:val="000000"/>
          <w:sz w:val="21"/>
        </w:rPr>
        <w:t>[Filed 10/19/89, Notice 9/6/89—published 11/15/89, effective 12/20/89]</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11/19/92, Notice 10/14/92—published 12/9/92, effective 1/13/93]</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ARC 1351C</w:t>
      </w:r>
      <w:r>
        <w:rPr>
          <w:rFonts w:ascii="Times New Roman" w:hAnsi="Times New Roman"/>
          <w:b w:val="false"/>
          <w:i w:val="false"/>
          <w:color w:val="000000"/>
          <w:sz w:val="21"/>
        </w:rPr>
        <w:t xml:space="preserve"> (Notice ARC 1270C,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3880C</w:t>
      </w:r>
      <w:r>
        <w:rPr>
          <w:rFonts w:ascii="Times New Roman" w:hAnsi="Times New Roman"/>
          <w:b w:val="false"/>
          <w:i w:val="false"/>
          <w:color w:val="000000"/>
          <w:sz w:val="21"/>
        </w:rPr>
        <w:t xml:space="preserve"> (Notice ARC 3755C, IAB 4/25/18)</w:t>
      </w:r>
      <w:r>
        <w:rPr>
          <w:rFonts w:ascii="Times New Roman" w:hAnsi="Times New Roman"/>
          <w:b w:val="false"/>
          <w:i w:val="false"/>
          <w:color w:val="000000"/>
          <w:sz w:val="21"/>
        </w:rPr>
        <w:t>, IAB 7/4/18, effective 8/8/18]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8.1.pdf" Type="http://schemas.openxmlformats.org/officeDocument/2006/relationships/hyperlink" Id="rId5"/>
    <Relationship TargetMode="External" Target="https://www.legis.iowa.gov/docs/iac/rule/761.700.1.pdf" Type="http://schemas.openxmlformats.org/officeDocument/2006/relationships/hyperlink" Id="rId6"/>
    <Relationship TargetMode="External" Target="http://www.iowadot.gov" Type="http://schemas.openxmlformats.org/officeDocument/2006/relationships/hyperlink" Id="rId7"/>
    <Relationship TargetMode="External" Target="https://www.legis.iowa.gov/docs/ico/chapter/328.1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