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710</w:t>
      </w:r>
    </w:p>
    <w:p>
      <w:pPr>
        <w:spacing w:before="0" w:after="0"/>
        <w:ind w:left="120"/>
        <w:jc w:val="center"/>
      </w:pPr>
      <w:r>
        <w:rPr>
          <w:rFonts w:ascii="Times New Roman" w:hAnsi="Times New Roman"/>
          <w:b w:val="false"/>
          <w:i w:val="false"/>
          <w:color w:val="000000"/>
          <w:sz w:val="21"/>
        </w:rPr>
        <w:t>AIRPORT IMPROVEMENT PROGRAM</w:t>
      </w:r>
    </w:p>
    <w:p>
      <w:pPr>
        <w:spacing w:before="0" w:after="0"/>
        <w:ind w:left="120"/>
        <w:jc w:val="center"/>
      </w:pPr>
      <w:r>
        <w:rPr>
          <w:rFonts w:ascii="Times New Roman" w:hAnsi="Times New Roman"/>
          <w:b w:val="false"/>
          <w:i w:val="false"/>
          <w:color w:val="000000"/>
          <w:sz w:val="14"/>
        </w:rPr>
        <w:t>[Prior to 6/3/87, Transportation Department [820]—(04,B)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761—710.1</w:t>
      </w:r>
      <w:r>
        <w:rPr>
          <w:rFonts w:ascii="Times New Roman" w:hAnsi="Times New Roman"/>
          <w:b/>
          <w:i w:val="false"/>
          <w:color w:val="000000"/>
          <w:sz w:val="22"/>
        </w:rPr>
        <w:t xml:space="preserve">(328) </w:t>
      </w:r>
      <w:r>
        <w:rPr>
          <w:rFonts w:ascii="Times New Roman" w:hAnsi="Times New Roman"/>
          <w:b/>
          <w:i w:val="false"/>
          <w:color w:val="000000"/>
          <w:sz w:val="22"/>
        </w:rPr>
        <w:t xml:space="preserve">Purpose. </w:t>
      </w:r>
      <w:r>
        <w:rPr>
          <w:rFonts w:ascii="Times New Roman" w:hAnsi="Times New Roman"/>
          <w:b w:val="false"/>
          <w:i w:val="false"/>
          <w:color w:val="000000"/>
          <w:sz w:val="22"/>
        </w:rPr>
        <w:t>These rules establish the procedures for a governmental subdivision to apply for state or federal funds for the improvement of airports and air navigation facilities.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328.12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330.13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761—710.2</w:t>
      </w:r>
      <w:r>
        <w:rPr>
          <w:rFonts w:ascii="Times New Roman" w:hAnsi="Times New Roman"/>
          <w:b/>
          <w:i w:val="false"/>
          <w:color w:val="000000"/>
          <w:sz w:val="22"/>
        </w:rPr>
        <w:t xml:space="preserve">(328)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sections </w:t>
      </w:r>
      <w:hyperlink r:id="rId7">
        <w:r>
          <w:rPr>
            <w:rStyle w:val="Hyperlink"/>
            <w:rFonts w:ascii="Times New Roman" w:hAnsi="Times New Roman"/>
            <w:b w:val="false"/>
            <w:i w:val="false"/>
            <w:color w:val="000000"/>
            <w:sz w:val="22"/>
          </w:rPr>
          <w:t>328.1</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330.1</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330A.2</w:t>
        </w:r>
      </w:hyperlink>
      <w:r>
        <w:rPr>
          <w:rFonts w:ascii="Times New Roman" w:hAnsi="Times New Roman"/>
          <w:b w:val="false"/>
          <w:i w:val="false"/>
          <w:color w:val="000000"/>
          <w:sz w:val="22"/>
        </w:rPr>
        <w:t xml:space="preserve"> apply to this chapter of rules.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
        <w:r>
          <w:rPr>
            <w:rStyle w:val="Hyperlink"/>
            <w:rFonts w:ascii="Times New Roman" w:hAnsi="Times New Roman"/>
            <w:b w:val="false"/>
            <w:i w:val="false"/>
            <w:color w:val="000000"/>
            <w:sz w:val="22"/>
          </w:rPr>
          <w:t>328.1</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330.1</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330A.2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761—710.3</w:t>
      </w:r>
      <w:r>
        <w:rPr>
          <w:rFonts w:ascii="Times New Roman" w:hAnsi="Times New Roman"/>
          <w:b/>
          <w:i w:val="false"/>
          <w:color w:val="000000"/>
          <w:sz w:val="22"/>
        </w:rPr>
        <w:t xml:space="preserve">(17A) </w:t>
      </w:r>
      <w:r>
        <w:rPr>
          <w:rFonts w:ascii="Times New Roman" w:hAnsi="Times New Roman"/>
          <w:b/>
          <w:i w:val="false"/>
          <w:color w:val="000000"/>
          <w:sz w:val="22"/>
        </w:rPr>
        <w:t xml:space="preserve">Information and forms. </w:t>
      </w:r>
      <w:r>
        <w:rPr>
          <w:rFonts w:ascii="Times New Roman" w:hAnsi="Times New Roman"/>
          <w:b w:val="false"/>
          <w:i w:val="false"/>
          <w:color w:val="000000"/>
          <w:sz w:val="22"/>
        </w:rPr>
        <w:t xml:space="preserve">Program information, forms and application instructions are available on the department’s website at </w:t>
      </w:r>
      <w:hyperlink r:id="rId13">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 Requests for such materials or assistance may also be made by calling the office of aviation at (515)239-1048. Submission of application materials shall be made according to the annual application instructions included in the application materials. The office of aviation mailing address is: Office of Aviation, Iowa Department of Transportation, 800 Lincoln Way, Ames, Iowa 50010.</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1351C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 xml:space="preserve">; </w:t>
      </w:r>
      <w:r>
        <w:rPr>
          <w:rFonts w:ascii="Times New Roman" w:hAnsi="Times New Roman"/>
          <w:b/>
          <w:i w:val="false"/>
          <w:color w:val="000000"/>
          <w:sz w:val="16"/>
        </w:rPr>
        <w:t>ARC 3880C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761—710.4</w:t>
      </w:r>
      <w:r>
        <w:rPr>
          <w:rFonts w:ascii="Times New Roman" w:hAnsi="Times New Roman"/>
          <w:b/>
          <w:i w:val="false"/>
          <w:color w:val="000000"/>
          <w:sz w:val="22"/>
        </w:rPr>
        <w:t xml:space="preserve">(330) </w:t>
      </w:r>
      <w:r>
        <w:rPr>
          <w:rFonts w:ascii="Times New Roman" w:hAnsi="Times New Roman"/>
          <w:b/>
          <w:i w:val="false"/>
          <w:color w:val="000000"/>
          <w:sz w:val="22"/>
        </w:rPr>
        <w:t xml:space="preserve">Federal airport improvement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710.4(1)</w:t>
      </w:r>
      <w:r>
        <w:rPr>
          <w:rFonts w:ascii="Times New Roman" w:hAnsi="Times New Roman"/>
          <w:b w:val="false"/>
          <w:i w:val="false"/>
          <w:color w:val="000000"/>
          <w:sz w:val="22"/>
        </w:rPr>
        <w:t> </w:t>
      </w:r>
      <w:r>
        <w:rPr>
          <w:rFonts w:ascii="Times New Roman" w:hAnsi="Times New Roman"/>
          <w:b w:val="false"/>
          <w:i/>
          <w:color w:val="000000"/>
          <w:sz w:val="22"/>
        </w:rPr>
        <w:t xml:space="preserve">Applicant eligibility. </w:t>
      </w:r>
      <w:r>
        <w:rPr>
          <w:rFonts w:ascii="Times New Roman" w:hAnsi="Times New Roman"/>
          <w:b w:val="false"/>
          <w:i w:val="false"/>
          <w:color w:val="000000"/>
          <w:sz w:val="22"/>
        </w:rPr>
        <w:t xml:space="preserve">A governmental subdivision owning a public airport that is listed in the Federal Aviation Administration’s (FAA) National Plan of Integrated Airport Systems (NPIAS) is eligible to apply for federal funds. The NPIAS published report is available at the FAA website: </w:t>
      </w:r>
      <w:hyperlink r:id="rId15">
        <w:r>
          <w:rPr>
            <w:rStyle w:val="Hyperlink"/>
            <w:rFonts w:ascii="Times New Roman" w:hAnsi="Times New Roman"/>
            <w:b w:val="false"/>
            <w:i w:val="false"/>
            <w:color w:val="000000"/>
            <w:sz w:val="22"/>
            <w:u w:val="single"/>
          </w:rPr>
          <w:t>www.faa.gov/airports</w:t>
        </w:r>
      </w:hyperlink>
      <w:r>
        <w:rPr>
          <w:rFonts w:ascii="Times New Roman" w:hAnsi="Times New Roman"/>
          <w:b w:val="false"/>
          <w:i w:val="false"/>
          <w:color w:val="000000"/>
          <w:sz w:val="22"/>
        </w:rPr>
        <w:t>. An airport that receives federal primary commercial service entitlement funds is not required to submit preapplications.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710.4(2)</w:t>
      </w:r>
      <w:r>
        <w:rPr>
          <w:rFonts w:ascii="Times New Roman" w:hAnsi="Times New Roman"/>
          <w:b w:val="false"/>
          <w:i w:val="false"/>
          <w:color w:val="000000"/>
          <w:sz w:val="22"/>
        </w:rPr>
        <w:t> </w:t>
      </w:r>
      <w:r>
        <w:rPr>
          <w:rFonts w:ascii="Times New Roman" w:hAnsi="Times New Roman"/>
          <w:b w:val="false"/>
          <w:i/>
          <w:color w:val="000000"/>
          <w:sz w:val="22"/>
        </w:rPr>
        <w:t xml:space="preserve">Project eligibility. </w:t>
      </w:r>
      <w:r>
        <w:rPr>
          <w:rFonts w:ascii="Times New Roman" w:hAnsi="Times New Roman"/>
          <w:b w:val="false"/>
          <w:i w:val="false"/>
          <w:color w:val="000000"/>
          <w:sz w:val="22"/>
        </w:rPr>
        <w:t xml:space="preserve">Projects must meet the FAA eligibility guidelines for federal airport improvement projects. Federal airport improvement program guidelines are available at the FAA website: </w:t>
      </w:r>
      <w:hyperlink r:id="rId16">
        <w:r>
          <w:rPr>
            <w:rStyle w:val="Hyperlink"/>
            <w:rFonts w:ascii="Times New Roman" w:hAnsi="Times New Roman"/>
            <w:b w:val="false"/>
            <w:i w:val="false"/>
            <w:color w:val="000000"/>
            <w:sz w:val="22"/>
            <w:u w:val="single"/>
          </w:rPr>
          <w:t>www.faa.gov/airports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710.4(3)</w:t>
      </w:r>
      <w:r>
        <w:rPr>
          <w:rFonts w:ascii="Times New Roman" w:hAnsi="Times New Roman"/>
          <w:b w:val="false"/>
          <w:i w:val="false"/>
          <w:color w:val="000000"/>
          <w:sz w:val="22"/>
        </w:rPr>
        <w:t> </w:t>
      </w:r>
      <w:r>
        <w:rPr>
          <w:rFonts w:ascii="Times New Roman" w:hAnsi="Times New Roman"/>
          <w:b w:val="false"/>
          <w:i/>
          <w:color w:val="000000"/>
          <w:sz w:val="22"/>
        </w:rPr>
        <w:t xml:space="preserve">Preapplication.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distribute preapplication instructions and forms annually to each eligible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completed preapplication for federal airport improvement funds shall be submitted to the department according to the method and time frame specified in the annual application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710.4(4)</w:t>
      </w:r>
      <w:r>
        <w:rPr>
          <w:rFonts w:ascii="Times New Roman" w:hAnsi="Times New Roman"/>
          <w:b w:val="false"/>
          <w:i w:val="false"/>
          <w:color w:val="000000"/>
          <w:sz w:val="22"/>
        </w:rPr>
        <w:t> </w:t>
      </w:r>
      <w:r>
        <w:rPr>
          <w:rFonts w:ascii="Times New Roman" w:hAnsi="Times New Roman"/>
          <w:b w:val="false"/>
          <w:i/>
          <w:color w:val="000000"/>
          <w:sz w:val="22"/>
        </w:rPr>
        <w:t xml:space="preserve">Project prioritization.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review each completed preapplication for project eligibility and consistency with the state aviation system plan. The department shall review and prioritize projects based on the goals and objectives in the state aviation system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 is responsible for approving the prioritization of the preapplications.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shall submit the preapplications with priorities identified to the FAA, and the FAA will contact the applicant directly concerning all subsequent action on the preapplication.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
        <w:r>
          <w:rPr>
            <w:rStyle w:val="Hyperlink"/>
            <w:rFonts w:ascii="Times New Roman" w:hAnsi="Times New Roman"/>
            <w:b w:val="false"/>
            <w:i w:val="false"/>
            <w:color w:val="000000"/>
            <w:sz w:val="22"/>
          </w:rPr>
          <w:t>330.13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1351C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761—710.5</w:t>
      </w:r>
      <w:r>
        <w:rPr>
          <w:rFonts w:ascii="Times New Roman" w:hAnsi="Times New Roman"/>
          <w:b/>
          <w:i w:val="false"/>
          <w:color w:val="000000"/>
          <w:sz w:val="22"/>
        </w:rPr>
        <w:t xml:space="preserve">(328) </w:t>
      </w:r>
      <w:r>
        <w:rPr>
          <w:rFonts w:ascii="Times New Roman" w:hAnsi="Times New Roman"/>
          <w:b/>
          <w:i w:val="false"/>
          <w:color w:val="000000"/>
          <w:sz w:val="22"/>
        </w:rPr>
        <w:t xml:space="preserve">State airport improvement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710.5(1)</w:t>
      </w:r>
      <w:r>
        <w:rPr>
          <w:rFonts w:ascii="Times New Roman" w:hAnsi="Times New Roman"/>
          <w:b w:val="false"/>
          <w:i w:val="false"/>
          <w:color w:val="000000"/>
          <w:sz w:val="22"/>
        </w:rPr>
        <w:t> </w:t>
      </w:r>
      <w:r>
        <w:rPr>
          <w:rFonts w:ascii="Times New Roman" w:hAnsi="Times New Roman"/>
          <w:b w:val="false"/>
          <w:i/>
          <w:color w:val="000000"/>
          <w:sz w:val="22"/>
        </w:rPr>
        <w:t xml:space="preserve">Applicant eligibility. </w:t>
      </w:r>
      <w:r>
        <w:rPr>
          <w:rFonts w:ascii="Times New Roman" w:hAnsi="Times New Roman"/>
          <w:b w:val="false"/>
          <w:i w:val="false"/>
          <w:color w:val="000000"/>
          <w:sz w:val="22"/>
        </w:rPr>
        <w:t>A governmental subdivision owning or establishing a public airport is eligible to apply to the department for state airport improvement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710.5(2)</w:t>
      </w:r>
      <w:r>
        <w:rPr>
          <w:rFonts w:ascii="Times New Roman" w:hAnsi="Times New Roman"/>
          <w:b w:val="false"/>
          <w:i w:val="false"/>
          <w:color w:val="000000"/>
          <w:sz w:val="22"/>
        </w:rPr>
        <w:t> </w:t>
      </w:r>
      <w:r>
        <w:rPr>
          <w:rFonts w:ascii="Times New Roman" w:hAnsi="Times New Roman"/>
          <w:b w:val="false"/>
          <w:i/>
          <w:color w:val="000000"/>
          <w:sz w:val="22"/>
        </w:rPr>
        <w:t xml:space="preserve">Project eligibility and funding.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airport improvement project must benefit and be accessible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Airport projects may include, but are not limited to: runway, taxiway, and apron surfaces; lighting and navigational aids; obstruction removal; grading, drainage, and surfacing airfield surfaces and protection areas; signage, security access control and lighting; planning; and other airport enhancements. A project that involves airfield infrastructure shall comply with the airport master plan or airport layout plan as adopted by the governmental subdivision.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establishes the maximum percentage of state share of eligible projects. The department may annually set a maximum dollar amount per award. Funding criteria are included in application instructions provided to airport sponsors.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710.5(3)</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funding.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make available the application instructions and forms to each publicly owned airport in Iowa. A complete application will include all materials identified in the annual application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Project applications shall be submitted to the department by the due date specified in the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Immediate safety enhancement project applications may be submitted at any time during the year to the department according to instructions that are part of the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shall make available applications for special projects to all eligible airports. Airport sponsors shall submit applications for special projects to the department as specified in the application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710.5(4)</w:t>
      </w:r>
      <w:r>
        <w:rPr>
          <w:rFonts w:ascii="Times New Roman" w:hAnsi="Times New Roman"/>
          <w:b w:val="false"/>
          <w:i w:val="false"/>
          <w:color w:val="000000"/>
          <w:sz w:val="22"/>
        </w:rPr>
        <w:t> </w:t>
      </w:r>
      <w:r>
        <w:rPr>
          <w:rFonts w:ascii="Times New Roman" w:hAnsi="Times New Roman"/>
          <w:b w:val="false"/>
          <w:i/>
          <w:color w:val="000000"/>
          <w:sz w:val="22"/>
        </w:rPr>
        <w:t xml:space="preserve">Review and approval. </w:t>
      </w:r>
      <w:r>
        <w:rPr>
          <w:rFonts w:ascii="Times New Roman" w:hAnsi="Times New Roman"/>
          <w:b w:val="false"/>
          <w:i w:val="false"/>
          <w:color w:val="000000"/>
          <w:sz w:val="22"/>
        </w:rPr>
        <w:t>The department shall review each completed application and evaluate the impact of the project on the aviation system considering the following factors: state system plan airport roles, goals and objectives; justification provided in the application; ability to enhance aeronautical activity for the airport and system; local participation; and multijurisdictional support of the airport. The department shall recommend projects to the transportation commission for approval. The commission is responsible for approving the projects to be funded.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710.5(5)</w:t>
      </w:r>
      <w:r>
        <w:rPr>
          <w:rFonts w:ascii="Times New Roman" w:hAnsi="Times New Roman"/>
          <w:b w:val="false"/>
          <w:i w:val="false"/>
          <w:color w:val="000000"/>
          <w:sz w:val="22"/>
        </w:rPr>
        <w:t> </w:t>
      </w:r>
      <w:r>
        <w:rPr>
          <w:rFonts w:ascii="Times New Roman" w:hAnsi="Times New Roman"/>
          <w:b w:val="false"/>
          <w:i/>
          <w:color w:val="000000"/>
          <w:sz w:val="22"/>
        </w:rPr>
        <w:t xml:space="preserve">Project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After a project has been approved by the commission, the department shall enter into an agreement with the airport sponsor that specifies the responsibilities of the sponsor.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agreement shall specify the amount of state funds, the contract period, and the responsibilities for project planning, development, and the payment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inspect the improvement for compliance with the agreement and may audit all project costs incurred.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710.5(6)</w:t>
      </w:r>
      <w:r>
        <w:rPr>
          <w:rFonts w:ascii="Times New Roman" w:hAnsi="Times New Roman"/>
          <w:b w:val="false"/>
          <w:i w:val="false"/>
          <w:color w:val="000000"/>
          <w:sz w:val="22"/>
        </w:rPr>
        <w:t> </w:t>
      </w:r>
      <w:r>
        <w:rPr>
          <w:rFonts w:ascii="Times New Roman" w:hAnsi="Times New Roman"/>
          <w:b w:val="false"/>
          <w:i/>
          <w:color w:val="000000"/>
          <w:sz w:val="22"/>
        </w:rPr>
        <w:t xml:space="preserve">Contract payments.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Payments to the airport sponsor for eligible project costs shall be made on a cost reimbursement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Engineering fees are an eligible project expense and shall be reimbursed in compliance with the agreement.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8">
        <w:r>
          <w:rPr>
            <w:rStyle w:val="Hyperlink"/>
            <w:rFonts w:ascii="Times New Roman" w:hAnsi="Times New Roman"/>
            <w:b w:val="false"/>
            <w:i w:val="false"/>
            <w:color w:val="000000"/>
            <w:sz w:val="22"/>
          </w:rPr>
          <w:t>328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1351C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7/1/75]</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1/15/92, Notice 12/11/91—published 2/5/92, effective 3/11/92]</w:t>
      </w:r>
    </w:p>
    <w:p>
      <w:pPr>
        <w:spacing w:before="0" w:after="0"/>
        <w:ind w:left="120"/>
        <w:jc w:val="center"/>
      </w:pPr>
      <w:r>
        <w:rPr>
          <w:rFonts w:ascii="Times New Roman" w:hAnsi="Times New Roman"/>
          <w:b w:val="false"/>
          <w:i w:val="false"/>
          <w:color w:val="000000"/>
          <w:sz w:val="21"/>
        </w:rPr>
        <w:t>[Filed emergency 7/1/92—published 7/22/92, effective 7/27/92]</w:t>
      </w:r>
    </w:p>
    <w:p>
      <w:pPr>
        <w:spacing w:before="0" w:after="0"/>
        <w:ind w:left="120"/>
        <w:jc w:val="center"/>
      </w:pPr>
      <w:r>
        <w:rPr>
          <w:rFonts w:ascii="Times New Roman" w:hAnsi="Times New Roman"/>
          <w:b w:val="false"/>
          <w:i w:val="false"/>
          <w:color w:val="000000"/>
          <w:sz w:val="21"/>
        </w:rPr>
        <w:t>[Filed 3/10/94, Notice 1/5/94—published 3/30/94, effective 5/4/94]</w:t>
      </w:r>
    </w:p>
    <w:p>
      <w:pPr>
        <w:spacing w:before="0" w:after="0"/>
        <w:ind w:left="120"/>
        <w:jc w:val="center"/>
      </w:pPr>
      <w:r>
        <w:rPr>
          <w:rFonts w:ascii="Times New Roman" w:hAnsi="Times New Roman"/>
          <w:b w:val="false"/>
          <w:i w:val="false"/>
          <w:color w:val="000000"/>
          <w:sz w:val="21"/>
        </w:rPr>
        <w:t>[Filed 12/17/03, Notice 11/12/03—published 1/7/04, effective 2/11/04]</w:t>
      </w:r>
    </w:p>
    <w:p>
      <w:pPr>
        <w:spacing w:before="0" w:after="0"/>
        <w:ind w:left="120"/>
        <w:jc w:val="center"/>
      </w:pPr>
      <w:r>
        <w:rPr>
          <w:rFonts w:ascii="Times New Roman" w:hAnsi="Times New Roman"/>
          <w:b w:val="false"/>
          <w:i w:val="false"/>
          <w:color w:val="000000"/>
          <w:sz w:val="21"/>
        </w:rPr>
        <w:t>[Filed 12/14/05, Notice 11/9/05—published 1/4/06, effective 2/8/06]</w:t>
      </w:r>
    </w:p>
    <w:p>
      <w:pPr>
        <w:spacing w:before="0" w:after="0"/>
        <w:ind w:left="120"/>
        <w:jc w:val="center"/>
      </w:pPr>
      <w:r>
        <w:rPr>
          <w:rFonts w:ascii="Times New Roman" w:hAnsi="Times New Roman"/>
          <w:b w:val="false"/>
          <w:i w:val="false"/>
          <w:color w:val="000000"/>
          <w:sz w:val="21"/>
        </w:rPr>
        <w:t>[Filed ARC 1351C</w:t>
      </w:r>
      <w:r>
        <w:rPr>
          <w:rFonts w:ascii="Times New Roman" w:hAnsi="Times New Roman"/>
          <w:b w:val="false"/>
          <w:i w:val="false"/>
          <w:color w:val="000000"/>
          <w:sz w:val="21"/>
        </w:rPr>
        <w:t xml:space="preserve"> (Notice ARC 1270C, IAB 1/8/14)</w:t>
      </w:r>
      <w:r>
        <w:rPr>
          <w:rFonts w:ascii="Times New Roman" w:hAnsi="Times New Roman"/>
          <w:b w:val="false"/>
          <w:i w:val="false"/>
          <w:color w:val="000000"/>
          <w:sz w:val="21"/>
        </w:rPr>
        <w:t>, IAB 3/5/14, effective 4/9/14]</w:t>
      </w:r>
    </w:p>
    <w:p>
      <w:pPr>
        <w:spacing w:before="0" w:after="0"/>
        <w:ind w:left="120"/>
        <w:jc w:val="center"/>
      </w:pPr>
      <w:r>
        <w:rPr>
          <w:rFonts w:ascii="Times New Roman" w:hAnsi="Times New Roman"/>
          <w:b w:val="false"/>
          <w:i w:val="false"/>
          <w:color w:val="000000"/>
          <w:sz w:val="21"/>
        </w:rPr>
        <w:t>[Filed ARC 3880C</w:t>
      </w:r>
      <w:r>
        <w:rPr>
          <w:rFonts w:ascii="Times New Roman" w:hAnsi="Times New Roman"/>
          <w:b w:val="false"/>
          <w:i w:val="false"/>
          <w:color w:val="000000"/>
          <w:sz w:val="21"/>
        </w:rPr>
        <w:t xml:space="preserve"> (Notice ARC 3755C, IAB 4/25/18)</w:t>
      </w:r>
      <w:r>
        <w:rPr>
          <w:rFonts w:ascii="Times New Roman" w:hAnsi="Times New Roman"/>
          <w:b w:val="false"/>
          <w:i w:val="false"/>
          <w:color w:val="000000"/>
          <w:sz w:val="21"/>
        </w:rPr>
        <w:t>, IAB 7/4/18, effective 8/8/18]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8.12.pdf" Type="http://schemas.openxmlformats.org/officeDocument/2006/relationships/hyperlink" Id="rId5"/>
    <Relationship TargetMode="External" Target="https://www.legis.iowa.gov/docs/ico/chapter/330.13.pdf" Type="http://schemas.openxmlformats.org/officeDocument/2006/relationships/hyperlink" Id="rId6"/>
    <Relationship TargetMode="External" Target="https://www.legis.iowa.gov/docs/ico/chapter/328.1.pdf" Type="http://schemas.openxmlformats.org/officeDocument/2006/relationships/hyperlink" Id="rId7"/>
    <Relationship TargetMode="External" Target="https://www.legis.iowa.gov/docs/ico/chapter/330.1.pdf" Type="http://schemas.openxmlformats.org/officeDocument/2006/relationships/hyperlink" Id="rId8"/>
    <Relationship TargetMode="External" Target="https://www.legis.iowa.gov/docs/ico/chapter/330A.2.pdf" Type="http://schemas.openxmlformats.org/officeDocument/2006/relationships/hyperlink" Id="rId9"/>
    <Relationship TargetMode="External" Target="https://www.legis.iowa.gov/docs/ico/chapter/328.1.pdf" Type="http://schemas.openxmlformats.org/officeDocument/2006/relationships/hyperlink" Id="rId10"/>
    <Relationship TargetMode="External" Target="https://www.legis.iowa.gov/docs/ico/chapter/330.1.pdf" Type="http://schemas.openxmlformats.org/officeDocument/2006/relationships/hyperlink" Id="rId11"/>
    <Relationship TargetMode="External" Target="https://www.legis.iowa.gov/docs/ico/chapter/330A.2.pdf" Type="http://schemas.openxmlformats.org/officeDocument/2006/relationships/hyperlink" Id="rId12"/>
    <Relationship TargetMode="External" Target="http://www.iowadot.gov" Type="http://schemas.openxmlformats.org/officeDocument/2006/relationships/hyperlink" Id="rId13"/>
    <Relationship TargetMode="External" Target="https://www.legis.iowa.gov/docs/ico/chapter/17A.3.pdf" Type="http://schemas.openxmlformats.org/officeDocument/2006/relationships/hyperlink" Id="rId14"/>
    <Relationship TargetMode="External" Target="http://www.faa.gov/airports" Type="http://schemas.openxmlformats.org/officeDocument/2006/relationships/hyperlink" Id="rId15"/>
    <Relationship TargetMode="External" Target="http://www.faa.gov/airports" Type="http://schemas.openxmlformats.org/officeDocument/2006/relationships/hyperlink" Id="rId16"/>
    <Relationship TargetMode="External" Target="https://www.legis.iowa.gov/docs/ico/chapter/330.13.pdf" Type="http://schemas.openxmlformats.org/officeDocument/2006/relationships/hyperlink" Id="rId17"/>
    <Relationship TargetMode="External" Target="https://www.legis.iowa.gov/docs/ico/chapter/328.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