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641</w:t>
      </w:r>
    </w:p>
    <w:p>
      <w:pPr>
        <w:spacing w:before="0" w:after="0"/>
        <w:ind w:left="120"/>
        <w:jc w:val="center"/>
      </w:pPr>
      <w:r>
        <w:rPr>
          <w:rFonts w:ascii="Times New Roman" w:hAnsi="Times New Roman"/>
          <w:b w:val="false"/>
          <w:i w:val="false"/>
          <w:color w:val="000000"/>
          <w:sz w:val="21"/>
        </w:rPr>
        <w:t>FINANCIAL LIABILITY COVERAGE CARDS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761—641.1</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641.1(1)</w:t>
      </w:r>
      <w:r>
        <w:rPr>
          <w:rFonts w:ascii="Times New Roman" w:hAnsi="Times New Roman"/>
          <w:b w:val="false"/>
          <w:i w:val="false"/>
          <w:color w:val="000000"/>
          <w:sz w:val="22"/>
        </w:rPr>
        <w:t> </w:t>
      </w:r>
      <w:r>
        <w:rPr>
          <w:rFonts w:ascii="Times New Roman" w:hAnsi="Times New Roman"/>
          <w:b w:val="false"/>
          <w:i w:val="false"/>
          <w:color w:val="000000"/>
          <w:sz w:val="22"/>
        </w:rPr>
        <w:t>The purpose of this chapter is to establish requirements for financial liability coverage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641.1(2)</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motor vehicles registered in Iowa or subject to registration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does not address proof of financial responsibility under Iowa Code chapter </w:t>
      </w:r>
      <w:hyperlink r:id="rId5">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except for the issuance of financial liability coverage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641.1(4)</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liability coverage for motor vehicle dealers is addressed in </w:t>
      </w:r>
      <w:hyperlink r:id="rId6">
        <w:r>
          <w:rPr>
            <w:rStyle w:val="Hyperlink"/>
            <w:rFonts w:ascii="Times New Roman" w:hAnsi="Times New Roman"/>
            <w:b w:val="false"/>
            <w:i w:val="false"/>
            <w:color w:val="000000"/>
            <w:sz w:val="22"/>
          </w:rPr>
          <w:t>761—subrule 425.10(8)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761—641.2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“Fleet” </w:t>
      </w:r>
      <w:r>
        <w:rPr>
          <w:rFonts w:ascii="Times New Roman" w:hAnsi="Times New Roman"/>
          <w:b w:val="false"/>
          <w:i w:val="false"/>
          <w:color w:val="000000"/>
          <w:sz w:val="22"/>
        </w:rPr>
        <w:t xml:space="preserve">means five or more motor vehicles covered under an insurance policy, or one or more motor vehicles covered by a bond filed under Iowa Code section </w:t>
      </w:r>
      <w:hyperlink r:id="rId7">
        <w:r>
          <w:rPr>
            <w:rStyle w:val="Hyperlink"/>
            <w:rFonts w:ascii="Times New Roman" w:hAnsi="Times New Roman"/>
            <w:b w:val="false"/>
            <w:i w:val="false"/>
            <w:color w:val="000000"/>
            <w:sz w:val="22"/>
          </w:rPr>
          <w:t>321A.24</w:t>
        </w:r>
      </w:hyperlink>
      <w:r>
        <w:rPr>
          <w:rFonts w:ascii="Times New Roman" w:hAnsi="Times New Roman"/>
          <w:b w:val="false"/>
          <w:i w:val="false"/>
          <w:color w:val="000000"/>
          <w:sz w:val="22"/>
        </w:rPr>
        <w:t xml:space="preserve">, a security certificate issued under section </w:t>
      </w:r>
      <w:hyperlink r:id="rId8">
        <w:r>
          <w:rPr>
            <w:rStyle w:val="Hyperlink"/>
            <w:rFonts w:ascii="Times New Roman" w:hAnsi="Times New Roman"/>
            <w:b w:val="false"/>
            <w:i w:val="false"/>
            <w:color w:val="000000"/>
            <w:sz w:val="22"/>
          </w:rPr>
          <w:t>321A.25</w:t>
        </w:r>
      </w:hyperlink>
      <w:r>
        <w:rPr>
          <w:rFonts w:ascii="Times New Roman" w:hAnsi="Times New Roman"/>
          <w:b w:val="false"/>
          <w:i w:val="false"/>
          <w:color w:val="000000"/>
          <w:sz w:val="22"/>
        </w:rPr>
        <w:t xml:space="preserve">, or a self-insurance certificate issued under section </w:t>
      </w:r>
      <w:hyperlink r:id="rId9">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number” </w:t>
      </w:r>
      <w:r>
        <w:rPr>
          <w:rFonts w:ascii="Times New Roman" w:hAnsi="Times New Roman"/>
          <w:b w:val="false"/>
          <w:i w:val="false"/>
          <w:color w:val="000000"/>
          <w:sz w:val="22"/>
        </w:rPr>
        <w:t xml:space="preserve">as used in Iowa Code sections </w:t>
      </w:r>
      <w:hyperlink r:id="rId10">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321A.24(1)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321A.25(1)</w:t>
        </w:r>
      </w:hyperlink>
      <w:r>
        <w:rPr>
          <w:rFonts w:ascii="Times New Roman" w:hAnsi="Times New Roman"/>
          <w:b w:val="false"/>
          <w:i w:val="false"/>
          <w:color w:val="000000"/>
          <w:sz w:val="22"/>
        </w:rPr>
        <w:t xml:space="preserve"> means vehicle identification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761—641.3</w:t>
      </w:r>
      <w:r>
        <w:rPr>
          <w:rFonts w:ascii="Times New Roman" w:hAnsi="Times New Roman"/>
          <w:b/>
          <w:i w:val="false"/>
          <w:color w:val="000000"/>
          <w:sz w:val="22"/>
        </w:rPr>
        <w:t xml:space="preserve">(321) </w:t>
      </w:r>
      <w:r>
        <w:rPr>
          <w:rFonts w:ascii="Times New Roman" w:hAnsi="Times New Roman"/>
          <w:b/>
          <w:i w:val="false"/>
          <w:color w:val="000000"/>
          <w:sz w:val="22"/>
        </w:rPr>
        <w:t xml:space="preserve">Content of financial liability coverage card.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641.3(1)</w:t>
      </w:r>
      <w:r>
        <w:rPr>
          <w:rFonts w:ascii="Times New Roman" w:hAnsi="Times New Roman"/>
          <w:b w:val="false"/>
          <w:i w:val="false"/>
          <w:color w:val="000000"/>
          <w:sz w:val="22"/>
        </w:rPr>
        <w:t> </w:t>
      </w:r>
      <w:r>
        <w:rPr>
          <w:rFonts w:ascii="Times New Roman" w:hAnsi="Times New Roman"/>
          <w:b w:val="false"/>
          <w:i w:val="false"/>
          <w:color w:val="000000"/>
          <w:sz w:val="22"/>
        </w:rPr>
        <w:t>A financial liability coverage card issued by an insurance company for a motor vehicle that is not insured as a part of a fleet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insurer and name and address of insurance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Vehicle identification number of the insured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Year and make of the insured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statement, “Coverage provided by this policy meets the minimum liability limits prescribed by law,” or a statement that is substantially similar.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and expiration dates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statement, “This card must be carried in the insured motor vehicle at all times,” or a statement that is substantially similar.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emergency telephone number of either the insurer or the insurance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641.3(2)</w:t>
      </w:r>
      <w:r>
        <w:rPr>
          <w:rFonts w:ascii="Times New Roman" w:hAnsi="Times New Roman"/>
          <w:b w:val="false"/>
          <w:i w:val="false"/>
          <w:color w:val="000000"/>
          <w:sz w:val="22"/>
        </w:rPr>
        <w:t> </w:t>
      </w:r>
      <w:r>
        <w:rPr>
          <w:rFonts w:ascii="Times New Roman" w:hAnsi="Times New Roman"/>
          <w:b w:val="false"/>
          <w:i w:val="false"/>
          <w:color w:val="000000"/>
          <w:sz w:val="22"/>
        </w:rPr>
        <w:t>An insurance company shall issue a financial liability coverage card for each motor vehicle insured as a part of a fleet. The fleet owner shall maintain a card in each fleet vehicle. The card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Either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insurer and name and address of insurance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Either the vehicle identification number or the words “all owned vehicles” or the word “fleet.”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statement, “Coverage provided by this policy meets the minimum liability limits prescribed by law,” or a statement that is substantially similar.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and expiration dates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statement, “This card must be carried in the insured motor vehicle at all times,” or a statement that is substantially similar.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emergency telephone number of either the insurer or the insurance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641.3(3)</w:t>
      </w:r>
      <w:r>
        <w:rPr>
          <w:rFonts w:ascii="Times New Roman" w:hAnsi="Times New Roman"/>
          <w:b w:val="false"/>
          <w:i w:val="false"/>
          <w:color w:val="000000"/>
          <w:sz w:val="22"/>
        </w:rPr>
        <w:t> </w:t>
      </w:r>
      <w:r>
        <w:rPr>
          <w:rFonts w:ascii="Times New Roman" w:hAnsi="Times New Roman"/>
          <w:b w:val="false"/>
          <w:i w:val="false"/>
          <w:color w:val="000000"/>
          <w:sz w:val="22"/>
        </w:rPr>
        <w:t xml:space="preserve">One financial liability coverage card shall be issued by the department for each fleet covered by a bond filed under Iowa Code section </w:t>
      </w:r>
      <w:hyperlink r:id="rId13">
        <w:r>
          <w:rPr>
            <w:rStyle w:val="Hyperlink"/>
            <w:rFonts w:ascii="Times New Roman" w:hAnsi="Times New Roman"/>
            <w:b w:val="false"/>
            <w:i w:val="false"/>
            <w:color w:val="000000"/>
            <w:sz w:val="22"/>
          </w:rPr>
          <w:t>321A.24</w:t>
        </w:r>
      </w:hyperlink>
      <w:r>
        <w:rPr>
          <w:rFonts w:ascii="Times New Roman" w:hAnsi="Times New Roman"/>
          <w:b w:val="false"/>
          <w:i w:val="false"/>
          <w:color w:val="000000"/>
          <w:sz w:val="22"/>
        </w:rPr>
        <w:t xml:space="preserve">, a security certificate issued under section </w:t>
      </w:r>
      <w:hyperlink r:id="rId14">
        <w:r>
          <w:rPr>
            <w:rStyle w:val="Hyperlink"/>
            <w:rFonts w:ascii="Times New Roman" w:hAnsi="Times New Roman"/>
            <w:b w:val="false"/>
            <w:i w:val="false"/>
            <w:color w:val="000000"/>
            <w:sz w:val="22"/>
          </w:rPr>
          <w:t>321A.25</w:t>
        </w:r>
      </w:hyperlink>
      <w:r>
        <w:rPr>
          <w:rFonts w:ascii="Times New Roman" w:hAnsi="Times New Roman"/>
          <w:b w:val="false"/>
          <w:i w:val="false"/>
          <w:color w:val="000000"/>
          <w:sz w:val="22"/>
        </w:rPr>
        <w:t xml:space="preserve">, or a self-insurance certificate issued under section </w:t>
      </w:r>
      <w:hyperlink r:id="rId15">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 The fleet owner shall maintain a copy of the card in each fleet vehicle. The card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whom the card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Either the vehicle identification number or the words “all owned vehicles” or the word “fleet.”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statement, “This card must be carried in the covered motor vehicle at all times.”</w:t>
      </w:r>
    </w:p>
    <w:p>
      <w:pPr>
        <w:spacing w:before="0" w:after="0"/>
        <w:ind w:left="120"/>
        <w:jc w:val="both"/>
      </w:pPr>
      <w:r>
        <w:rPr>
          <w:rFonts w:ascii="Times New Roman" w:hAnsi="Times New Roman"/>
          <w:b/>
          <w:i w:val="false"/>
          <w:color w:val="000000"/>
          <w:sz w:val="22"/>
        </w:rPr>
        <w:t>761—641.4</w:t>
      </w:r>
      <w:r>
        <w:rPr>
          <w:rFonts w:ascii="Times New Roman" w:hAnsi="Times New Roman"/>
          <w:b/>
          <w:i w:val="false"/>
          <w:color w:val="000000"/>
          <w:sz w:val="22"/>
        </w:rPr>
        <w:t xml:space="preserve">(321) </w:t>
      </w:r>
      <w:r>
        <w:rPr>
          <w:rFonts w:ascii="Times New Roman" w:hAnsi="Times New Roman"/>
          <w:b/>
          <w:i w:val="false"/>
          <w:color w:val="000000"/>
          <w:sz w:val="22"/>
        </w:rPr>
        <w:t xml:space="preserve">Responsibilities of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641.4(1)</w:t>
      </w:r>
      <w:r>
        <w:rPr>
          <w:rFonts w:ascii="Times New Roman" w:hAnsi="Times New Roman"/>
          <w:b w:val="false"/>
          <w:i w:val="false"/>
          <w:color w:val="000000"/>
          <w:sz w:val="22"/>
        </w:rPr>
        <w:t> </w:t>
      </w:r>
      <w:r>
        <w:rPr>
          <w:rFonts w:ascii="Times New Roman" w:hAnsi="Times New Roman"/>
          <w:b w:val="false"/>
          <w:i w:val="false"/>
          <w:color w:val="000000"/>
          <w:sz w:val="22"/>
        </w:rPr>
        <w:t>Each insurer issuing financial liability coverage in this state shall furnish a financial liability coverage card that complies with these rules to the named insured for each motor vehicle insured. The card shall be provided with every new policy and every policy renewal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641.4(2)</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a true and correct, sample copy of its financial liability coverage card with the Iowa insurance division.</w:t>
      </w:r>
    </w:p>
    <w:p>
      <w:pPr>
        <w:spacing w:before="0" w:after="0"/>
        <w:ind w:left="120"/>
        <w:jc w:val="both"/>
      </w:pPr>
      <w:r>
        <w:rPr>
          <w:rFonts w:ascii="Times New Roman" w:hAnsi="Times New Roman"/>
          <w:b/>
          <w:i w:val="false"/>
          <w:color w:val="000000"/>
          <w:sz w:val="22"/>
        </w:rPr>
        <w:t>761—641.5</w:t>
      </w:r>
      <w:r>
        <w:rPr>
          <w:rFonts w:ascii="Times New Roman" w:hAnsi="Times New Roman"/>
          <w:b/>
          <w:i w:val="false"/>
          <w:color w:val="000000"/>
          <w:sz w:val="22"/>
        </w:rPr>
        <w:t xml:space="preserve">(321) </w:t>
      </w:r>
      <w:r>
        <w:rPr>
          <w:rFonts w:ascii="Times New Roman" w:hAnsi="Times New Roman"/>
          <w:b/>
          <w:i w:val="false"/>
          <w:color w:val="000000"/>
          <w:sz w:val="22"/>
        </w:rPr>
        <w:t xml:space="preserve">Acquisition of additional or replacement motor vehicles.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641.5(1)</w:t>
      </w:r>
      <w:r>
        <w:rPr>
          <w:rFonts w:ascii="Times New Roman" w:hAnsi="Times New Roman"/>
          <w:b w:val="false"/>
          <w:i w:val="false"/>
          <w:color w:val="000000"/>
          <w:sz w:val="22"/>
        </w:rPr>
        <w:t> </w:t>
      </w:r>
      <w:r>
        <w:rPr>
          <w:rFonts w:ascii="Times New Roman" w:hAnsi="Times New Roman"/>
          <w:b w:val="false"/>
          <w:i w:val="false"/>
          <w:color w:val="000000"/>
          <w:sz w:val="22"/>
        </w:rPr>
        <w:t xml:space="preserve">A financial liability coverage card that provides coverage for a replacement motor vehicle may be used temporarily in a replacement motor vehicle for 30 days if ownership evidence as described in </w:t>
      </w:r>
      <w:hyperlink r:id="rId16">
        <w:r>
          <w:rPr>
            <w:rStyle w:val="Hyperlink"/>
            <w:rFonts w:ascii="Times New Roman" w:hAnsi="Times New Roman"/>
            <w:b w:val="false"/>
            <w:i w:val="false"/>
            <w:color w:val="000000"/>
            <w:sz w:val="22"/>
          </w:rPr>
          <w:t>761—subrule 400.19(3)</w:t>
        </w:r>
      </w:hyperlink>
      <w:r>
        <w:rPr>
          <w:rFonts w:ascii="Times New Roman" w:hAnsi="Times New Roman"/>
          <w:b w:val="false"/>
          <w:i w:val="false"/>
          <w:color w:val="000000"/>
          <w:sz w:val="22"/>
        </w:rPr>
        <w:t xml:space="preserve"> is carried in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641.5(2)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 financial liability coverage card that provides coverage for an additionally acquired motor vehicle may be used temporarily in an additionally acquired motor vehicle for 30 days if ownership evidence as described in </w:t>
      </w:r>
      <w:hyperlink r:id="rId17">
        <w:r>
          <w:rPr>
            <w:rStyle w:val="Hyperlink"/>
            <w:rFonts w:ascii="Times New Roman" w:hAnsi="Times New Roman"/>
            <w:b w:val="false"/>
            <w:i w:val="false"/>
            <w:color w:val="000000"/>
            <w:sz w:val="22"/>
          </w:rPr>
          <w:t>761—subrule 400.19(3)</w:t>
        </w:r>
      </w:hyperlink>
      <w:r>
        <w:rPr>
          <w:rFonts w:ascii="Times New Roman" w:hAnsi="Times New Roman"/>
          <w:b w:val="false"/>
          <w:i w:val="false"/>
          <w:color w:val="000000"/>
          <w:sz w:val="22"/>
        </w:rPr>
        <w:t xml:space="preserve"> is carried in the motor vehicle.</w:t>
      </w:r>
    </w:p>
    <w:p>
      <w:pPr>
        <w:spacing w:before="210" w:after="0"/>
        <w:ind w:left="120"/>
        <w:jc w:val="both"/>
      </w:pPr>
      <w:r>
        <w:rPr>
          <w:rFonts w:ascii="Times New Roman" w:hAnsi="Times New Roman"/>
          <w:b/>
          <w:i w:val="false"/>
          <w:color w:val="000000"/>
          <w:sz w:val="22"/>
        </w:rPr>
        <w:t>761—641.6</w:t>
      </w:r>
      <w:r>
        <w:rPr>
          <w:rFonts w:ascii="Times New Roman" w:hAnsi="Times New Roman"/>
          <w:b/>
          <w:i w:val="false"/>
          <w:color w:val="000000"/>
          <w:sz w:val="22"/>
        </w:rPr>
        <w:t xml:space="preserve">(321) </w:t>
      </w:r>
      <w:r>
        <w:rPr>
          <w:rFonts w:ascii="Times New Roman" w:hAnsi="Times New Roman"/>
          <w:b/>
          <w:i w:val="false"/>
          <w:color w:val="000000"/>
          <w:sz w:val="22"/>
        </w:rPr>
        <w:t xml:space="preserve">New policies. </w:t>
      </w:r>
      <w:r>
        <w:rPr>
          <w:rFonts w:ascii="Times New Roman" w:hAnsi="Times New Roman"/>
          <w:b w:val="false"/>
          <w:i w:val="false"/>
          <w:color w:val="000000"/>
          <w:sz w:val="22"/>
        </w:rPr>
        <w:t>On new policy applications, a binder of liability coverage issued by an insurance agent authorized to conduct insurance business in this state is acceptable proof of financial liability coverage for a period of 30 days from date of issue of the binder.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321A.24</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321A.25</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321A.34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12/17/97, Notice 11/5/97—published 1/14/98, effective 2/18/98]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[Editorial change: IAC Supplement 8/11/21]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A.pdf" Type="http://schemas.openxmlformats.org/officeDocument/2006/relationships/hyperlink" Id="rId5"/>
    <Relationship TargetMode="External" Target="https://www.legis.iowa.gov/docs/iac/rule/761.425.10.pdf" Type="http://schemas.openxmlformats.org/officeDocument/2006/relationships/hyperlink" Id="rId6"/>
    <Relationship TargetMode="External" Target="https://www.legis.iowa.gov/docs/ico/chapter/321A.24.pdf" Type="http://schemas.openxmlformats.org/officeDocument/2006/relationships/hyperlink" Id="rId7"/>
    <Relationship TargetMode="External" Target="https://www.legis.iowa.gov/docs/ico/chapter/321A.25.pdf" Type="http://schemas.openxmlformats.org/officeDocument/2006/relationships/hyperlink" Id="rId8"/>
    <Relationship TargetMode="External" Target="https://www.legis.iowa.gov/docs/ico/chapter/321A.34.pdf" Type="http://schemas.openxmlformats.org/officeDocument/2006/relationships/hyperlink" Id="rId9"/>
    <Relationship TargetMode="External" Target="https://www.legis.iowa.gov/docs/ico/chapter/321.20B.pdf" Type="http://schemas.openxmlformats.org/officeDocument/2006/relationships/hyperlink" Id="rId10"/>
    <Relationship TargetMode="External" Target="https://www.legis.iowa.gov/docs/ico/chapter/321A.24.pdf" Type="http://schemas.openxmlformats.org/officeDocument/2006/relationships/hyperlink" Id="rId11"/>
    <Relationship TargetMode="External" Target="https://www.legis.iowa.gov/docs/ico/chapter/321A.25.pdf" Type="http://schemas.openxmlformats.org/officeDocument/2006/relationships/hyperlink" Id="rId12"/>
    <Relationship TargetMode="External" Target="https://www.legis.iowa.gov/docs/ico/chapter/321A.24.pdf" Type="http://schemas.openxmlformats.org/officeDocument/2006/relationships/hyperlink" Id="rId13"/>
    <Relationship TargetMode="External" Target="https://www.legis.iowa.gov/docs/ico/chapter/321A.25.pdf" Type="http://schemas.openxmlformats.org/officeDocument/2006/relationships/hyperlink" Id="rId14"/>
    <Relationship TargetMode="External" Target="https://www.legis.iowa.gov/docs/ico/chapter/321A.34.pdf" Type="http://schemas.openxmlformats.org/officeDocument/2006/relationships/hyperlink" Id="rId15"/>
    <Relationship TargetMode="External" Target="https://www.legis.iowa.gov/docs/iac/rule/761.400.19.pdf" Type="http://schemas.openxmlformats.org/officeDocument/2006/relationships/hyperlink" Id="rId16"/>
    <Relationship TargetMode="External" Target="https://www.legis.iowa.gov/docs/iac/rule/761.400.19.pdf" Type="http://schemas.openxmlformats.org/officeDocument/2006/relationships/hyperlink" Id="rId17"/>
    <Relationship TargetMode="External" Target="https://www.legis.iowa.gov/docs/ico/chapter/321.1.pdf" Type="http://schemas.openxmlformats.org/officeDocument/2006/relationships/hyperlink" Id="rId18"/>
    <Relationship TargetMode="External" Target="https://www.legis.iowa.gov/docs/ico/chapter/321.20B.pdf" Type="http://schemas.openxmlformats.org/officeDocument/2006/relationships/hyperlink" Id="rId19"/>
    <Relationship TargetMode="External" Target="https://www.legis.iowa.gov/docs/ico/chapter/321A.24.pdf" Type="http://schemas.openxmlformats.org/officeDocument/2006/relationships/hyperlink" Id="rId20"/>
    <Relationship TargetMode="External" Target="https://www.legis.iowa.gov/docs/ico/chapter/321A.25.pdf" Type="http://schemas.openxmlformats.org/officeDocument/2006/relationships/hyperlink" Id="rId21"/>
    <Relationship TargetMode="External" Target="https://www.legis.iowa.gov/docs/ico/chapter/321A.34.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