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620</w:t>
      </w:r>
    </w:p>
    <w:p>
      <w:pPr>
        <w:spacing w:before="0" w:after="0"/>
        <w:ind w:left="120"/>
        <w:jc w:val="center"/>
      </w:pPr>
      <w:r>
        <w:rPr>
          <w:rFonts w:ascii="Times New Roman" w:hAnsi="Times New Roman"/>
          <w:b w:val="false"/>
          <w:i w:val="false"/>
          <w:color w:val="000000"/>
          <w:sz w:val="21"/>
        </w:rPr>
        <w:t>OWI AND IMPLIED CONSENT</w:t>
      </w:r>
    </w:p>
    <w:p>
      <w:pPr>
        <w:spacing w:before="0" w:after="0"/>
        <w:ind w:left="120"/>
        <w:jc w:val="center"/>
      </w:pPr>
      <w:r>
        <w:rPr>
          <w:rFonts w:ascii="Times New Roman" w:hAnsi="Times New Roman"/>
          <w:b w:val="false"/>
          <w:i w:val="false"/>
          <w:color w:val="000000"/>
          <w:sz w:val="14"/>
        </w:rPr>
        <w:t>[Prior to 6/3/87, Transportation Department[820]—(07,C)Ch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761—620.1</w:t>
      </w:r>
      <w:r>
        <w:rPr>
          <w:rFonts w:ascii="Times New Roman" w:hAnsi="Times New Roman"/>
          <w:b/>
          <w:i w:val="false"/>
          <w:color w:val="000000"/>
          <w:sz w:val="22"/>
        </w:rPr>
        <w:t xml:space="preserve">(321J)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1/8/92</w:t>
      </w:r>
      <w:r>
        <w:rPr>
          <w:rFonts w:ascii="Times New Roman" w:hAnsi="Times New Roman"/>
          <w:b w:val="false"/>
          <w:i w:val="false"/>
          <w:color w:val="000000"/>
          <w:sz w:val="22"/>
        </w:rPr>
        <w:t>, effective 2/12/92.</w:t>
      </w:r>
    </w:p>
    <w:p>
      <w:pPr>
        <w:spacing w:before="0" w:after="0"/>
        <w:ind w:left="120"/>
        <w:jc w:val="both"/>
      </w:pPr>
      <w:r>
        <w:rPr>
          <w:rFonts w:ascii="Times New Roman" w:hAnsi="Times New Roman"/>
          <w:b/>
          <w:i w:val="false"/>
          <w:color w:val="000000"/>
          <w:sz w:val="22"/>
        </w:rPr>
        <w:t>761—620.2</w:t>
      </w:r>
      <w:r>
        <w:rPr>
          <w:rFonts w:ascii="Times New Roman" w:hAnsi="Times New Roman"/>
          <w:b/>
          <w:i w:val="false"/>
          <w:color w:val="000000"/>
          <w:sz w:val="22"/>
        </w:rPr>
        <w:t xml:space="preserve">(321J) </w:t>
      </w:r>
      <w:r>
        <w:rPr>
          <w:rFonts w:ascii="Times New Roman" w:hAnsi="Times New Roman"/>
          <w:b/>
          <w:i w:val="false"/>
          <w:color w:val="000000"/>
          <w:sz w:val="22"/>
        </w:rPr>
        <w:t xml:space="preserve">Information and location. </w:t>
      </w:r>
      <w:r>
        <w:rPr>
          <w:rFonts w:ascii="Times New Roman" w:hAnsi="Times New Roman"/>
          <w:b w:val="false"/>
          <w:i w:val="false"/>
          <w:color w:val="000000"/>
          <w:sz w:val="22"/>
        </w:rPr>
        <w:t>Applications, forms, information, assistance, and answers to questions relating to this chapter are available by mail from the Motor Vehicle Division, Iowa Department of Transportation, P.O. Box 9204, Des Moines, Iowa 50306-9204; in person at 6310 SE Convenience Blvd., Ankeny, Iowa; by telephone at (515)244-8725; or by facsimile at (515)239-1837.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4001C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4760C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 xml:space="preserve">; </w:t>
      </w:r>
      <w:r>
        <w:rPr>
          <w:rFonts w:ascii="Times New Roman" w:hAnsi="Times New Roman"/>
          <w:b/>
          <w:i w:val="false"/>
          <w:color w:val="000000"/>
          <w:sz w:val="16"/>
        </w:rPr>
        <w:t>ARC 5941C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761—620.3</w:t>
      </w:r>
      <w:r>
        <w:rPr>
          <w:rFonts w:ascii="Times New Roman" w:hAnsi="Times New Roman"/>
          <w:b/>
          <w:i w:val="false"/>
          <w:color w:val="000000"/>
          <w:sz w:val="22"/>
        </w:rPr>
        <w:t xml:space="preserve">(321J) </w:t>
      </w:r>
      <w:r>
        <w:rPr>
          <w:rFonts w:ascii="Times New Roman" w:hAnsi="Times New Roman"/>
          <w:b/>
          <w:i w:val="false"/>
          <w:color w:val="000000"/>
          <w:sz w:val="22"/>
        </w:rPr>
        <w:t xml:space="preserve">Issuance of temporary restricted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620.3(1)</w:t>
      </w:r>
      <w:r>
        <w:rPr>
          <w:rFonts w:ascii="Times New Roman" w:hAnsi="Times New Roman"/>
          <w:b w:val="false"/>
          <w:i w:val="false"/>
          <w:color w:val="000000"/>
          <w:sz w:val="22"/>
        </w:rPr>
        <w:t> </w:t>
      </w:r>
      <w:r>
        <w:rPr>
          <w:rFonts w:ascii="Times New Roman" w:hAnsi="Times New Roman"/>
          <w:b w:val="false"/>
          <w:i/>
          <w:color w:val="000000"/>
          <w:sz w:val="22"/>
        </w:rPr>
        <w:t xml:space="preserve">Eligibility and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issue a temporary restricted license to a person who is eligible under and for the purposes listed in Iowa Code chapter </w:t>
      </w:r>
      <w:hyperlink r:id="rId5">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The department shall not issue a temporary restricted license to a person who is otherwise ineligible.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apply for a temporary restricted license, an applicant shall, at any time before or during the revocation period, submit application Form 430400 to the motor vehicle division. The application form should be furnished by the arresting officer. It may also be obtained upon oral or written request to the motor vehicle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620.3(2)</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r>
        <w:rPr>
          <w:rFonts w:ascii="Times New Roman" w:hAnsi="Times New Roman"/>
          <w:b w:val="false"/>
          <w:i w:val="false"/>
          <w:color w:val="000000"/>
          <w:sz w:val="22"/>
        </w:rPr>
        <w:t>A person applying for a temporary restricted license shall also comply with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 description of all motor vehicles operated under the temporary restricted license if the person has no previous operating while intoxicated conviction or revocation. If the person has a second or subsequent operating while intoxicated conviction or revocation, the person shall provide a description of all motor vehicles owned by such person or operated under the temporary restricted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proof of financial responsibility under Iowa Code chapter </w:t>
      </w:r>
      <w:hyperlink r:id="rId6">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 xml:space="preserve"> for all motor vehicles owned or operated under the temporary restricted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certification of installation of an approved ignition interlock device on every motor vehicle operated if the person has no previous operating while intoxicated conviction or revocation. If the person has a second or subsequent operating while intoxicated conviction or revocation, the person shall provide certification of installation of an approved ignition interlock device on every motor vehicle owned by such person or operated under the temporary restricted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 the $200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620.3(3)</w:t>
      </w:r>
      <w:r>
        <w:rPr>
          <w:rFonts w:ascii="Times New Roman" w:hAnsi="Times New Roman"/>
          <w:b w:val="false"/>
          <w:i w:val="false"/>
          <w:color w:val="000000"/>
          <w:sz w:val="22"/>
        </w:rPr>
        <w:t> </w:t>
      </w:r>
      <w:r>
        <w:rPr>
          <w:rFonts w:ascii="Times New Roman" w:hAnsi="Times New Roman"/>
          <w:b w:val="false"/>
          <w:i/>
          <w:color w:val="000000"/>
          <w:sz w:val="22"/>
        </w:rPr>
        <w:t xml:space="preserve">Issuance and 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issue the temporary restricted license until the application is approved, all requirements are met, the applicable reinstatement and license fees have been paid, and the applicant has passed the appropriate examination for the type of vehicle to be operated under the temporary restricted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determine the restrictions to be imposed by the temporary restricted license. The licensee shall apply to the department in writing with a justification for any requested change in license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620.3(4)</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 xml:space="preserve">A person who has been denied a temporary restricted license or who contests the restrictions imposed by the department may request an informal settlement conference by submitting a written request to the director of the motor vehicle division. Following an unsuccessful informal settlement or instead of that procedure, the person may request a contested case hearing in accordance with rule </w:t>
      </w:r>
      <w:hyperlink r:id="rId7">
        <w:r>
          <w:rPr>
            <w:rStyle w:val="Hyperlink"/>
            <w:rFonts w:ascii="Times New Roman" w:hAnsi="Times New Roman"/>
            <w:b w:val="false"/>
            <w:i w:val="false"/>
            <w:color w:val="000000"/>
            <w:sz w:val="22"/>
          </w:rPr>
          <w:t>761—620.4(321J)</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8024B</w:t>
      </w:r>
      <w:r>
        <w:rPr>
          <w:rFonts w:ascii="Times New Roman" w:hAnsi="Times New Roman"/>
          <w:b w:val="false"/>
          <w:i w:val="false"/>
          <w:color w:val="000000"/>
          <w:sz w:val="16"/>
        </w:rPr>
        <w:t>, IAB 8/12/09, effective 7/14/09</w:t>
      </w:r>
      <w:r>
        <w:rPr>
          <w:rFonts w:ascii="Times New Roman" w:hAnsi="Times New Roman"/>
          <w:b w:val="false"/>
          <w:i w:val="false"/>
          <w:color w:val="000000"/>
          <w:sz w:val="16"/>
        </w:rPr>
        <w:t xml:space="preserve">; </w:t>
      </w:r>
      <w:r>
        <w:rPr>
          <w:rFonts w:ascii="Times New Roman" w:hAnsi="Times New Roman"/>
          <w:b/>
          <w:i w:val="false"/>
          <w:color w:val="000000"/>
          <w:sz w:val="16"/>
        </w:rPr>
        <w:t>ARC 8203B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4001C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4347C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4760C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 xml:space="preserve">; </w:t>
      </w:r>
      <w:r>
        <w:rPr>
          <w:rFonts w:ascii="Times New Roman" w:hAnsi="Times New Roman"/>
          <w:b/>
          <w:i w:val="false"/>
          <w:color w:val="000000"/>
          <w:sz w:val="16"/>
        </w:rPr>
        <w:t>ARC 5429C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5941C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761—620.4</w:t>
      </w:r>
      <w:r>
        <w:rPr>
          <w:rFonts w:ascii="Times New Roman" w:hAnsi="Times New Roman"/>
          <w:b/>
          <w:i w:val="false"/>
          <w:color w:val="000000"/>
          <w:sz w:val="22"/>
        </w:rPr>
        <w:t xml:space="preserve">(321J) </w:t>
      </w:r>
      <w:r>
        <w:rPr>
          <w:rFonts w:ascii="Times New Roman" w:hAnsi="Times New Roman"/>
          <w:b/>
          <w:i w:val="false"/>
          <w:color w:val="000000"/>
          <w:sz w:val="22"/>
        </w:rPr>
        <w:t xml:space="preserve">Hearings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620.4(1)</w:t>
      </w:r>
      <w:r>
        <w:rPr>
          <w:rFonts w:ascii="Times New Roman" w:hAnsi="Times New Roman"/>
          <w:b w:val="false"/>
          <w:i w:val="false"/>
          <w:color w:val="000000"/>
          <w:sz w:val="22"/>
        </w:rPr>
        <w:t> </w:t>
      </w:r>
      <w:r>
        <w:rPr>
          <w:rFonts w:ascii="Times New Roman" w:hAnsi="Times New Roman"/>
          <w:b w:val="false"/>
          <w:i/>
          <w:color w:val="000000"/>
          <w:sz w:val="22"/>
        </w:rPr>
        <w:t xml:space="preserve">Contested case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may request a contested case hearing by checking the appropriate box on Form 432018 and submitting it to the department or by submitting a written request to the director of the motor vehicle division. The request shall include the person’s name, date of birth, driver’s license number, complete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for a hearing to contest the denial of a temporary restricted license or to contest the restrictions may be submitted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request for a hearing to contest a revocation shall be submitted within ten days after receipt of the revocation notice. The request shall be deemed timely submitted if it is delivered to the director of the motor vehicle division or properly addressed and postmarked within this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timely request a hearing on a revocation is a waiver of the right to a hearing under Iowa Code chapter </w:t>
      </w:r>
      <w:hyperlink r:id="rId8">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and the revocation shall become effective on the date specified in the revocation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After a hearing, a written decision will be issued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620.4(2)</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A decision by a presiding officer shall become the final decision of the department and shall be binding on the department and the person who requested the hearing unless either appeals the decision in accordance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appeal shall be decided on the basis of the record made before the presiding officer in the contested case hearing and no additional evidence shall be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appeal shall include a statement of the specific issues presented for review and the precise ruling or relief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appeal of the presiding officer’s decision shall be submitted in writing by sending the original and one copy of the appeal to the director of the motor vehicle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appeal shall be deemed timely submitted if it is delivered to the director of the motor vehicle division or properly addressed and postmarked within ten days after receipt of the presiding officer’s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director of the motor vehicle division shall forward the appeal to the director of transportation. The director of transportation may affirm, modify or reverse the decision of the presiding officer, or may remand the case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timely appeal a decision shall be considered a failure to exhaust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620.4(3)</w:t>
      </w:r>
      <w:r>
        <w:rPr>
          <w:rFonts w:ascii="Times New Roman" w:hAnsi="Times New Roman"/>
          <w:b w:val="false"/>
          <w:i w:val="false"/>
          <w:color w:val="000000"/>
          <w:sz w:val="22"/>
        </w:rPr>
        <w:t> </w:t>
      </w:r>
      <w:r>
        <w:rPr>
          <w:rFonts w:ascii="Times New Roman" w:hAnsi="Times New Roman"/>
          <w:b w:val="false"/>
          <w:i/>
          <w:color w:val="000000"/>
          <w:sz w:val="22"/>
        </w:rPr>
        <w:t xml:space="preserve">Final agency action. </w:t>
      </w:r>
      <w:r>
        <w:rPr>
          <w:rFonts w:ascii="Times New Roman" w:hAnsi="Times New Roman"/>
          <w:b w:val="false"/>
          <w:i w:val="false"/>
          <w:color w:val="000000"/>
          <w:sz w:val="22"/>
        </w:rPr>
        <w:t>The decision of the director of transportation shall be the final decision of the department and shall constitute final agency action for purposes of judicial review. No further steps are necessary to exhaust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620.4(4)</w:t>
      </w:r>
      <w:r>
        <w:rPr>
          <w:rFonts w:ascii="Times New Roman" w:hAnsi="Times New Roman"/>
          <w:b w:val="false"/>
          <w:i w:val="false"/>
          <w:color w:val="000000"/>
          <w:sz w:val="22"/>
        </w:rPr>
        <w:t> </w:t>
      </w:r>
      <w:r>
        <w:rPr>
          <w:rFonts w:ascii="Times New Roman" w:hAnsi="Times New Roman"/>
          <w:b w:val="false"/>
          <w:i/>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continuance is granted, either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may move for default against a party who has requested the contested case proceeding and who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or a decision rendered on the merits after a party has failed to appear or participate in a contested case proceeding becomes final agency action unless, within ten days after receipt of the decision, either a motion to vacate is filed and served on the presiding officer and the other parties or an appeal of a decision on the merits is timely submitted in accordance with subrule </w:t>
      </w:r>
      <w:hyperlink r:id="rId9">
        <w:r>
          <w:rPr>
            <w:rStyle w:val="Hyperlink"/>
            <w:rFonts w:ascii="Times New Roman" w:hAnsi="Times New Roman"/>
            <w:b w:val="false"/>
            <w:i w:val="false"/>
            <w:color w:val="000000"/>
            <w:sz w:val="22"/>
          </w:rPr>
          <w:t>620.4(2)</w:t>
        </w:r>
      </w:hyperlink>
      <w:r>
        <w:rPr>
          <w:rFonts w:ascii="Times New Roman" w:hAnsi="Times New Roman"/>
          <w:b w:val="false"/>
          <w:i w:val="false"/>
          <w:color w:val="000000"/>
          <w:sz w:val="22"/>
        </w:rPr>
        <w:t>. A motion to vacate must state all facts relied upon by the moving party which establish that good cause existed for that party’s failure to appear or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Timely filed motions to vacate shall be granted only for good cause shown. The burden of proof is on the moving party. Adverse parties shall have ten days to respond to a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“Good cause” for the purpose of this rule means surprise, excusable neglect or unavoidable casualty.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in accordance with subrule </w:t>
      </w:r>
      <w:hyperlink r:id="rId10">
        <w:r>
          <w:rPr>
            <w:rStyle w:val="Hyperlink"/>
            <w:rFonts w:ascii="Times New Roman" w:hAnsi="Times New Roman"/>
            <w:b w:val="false"/>
            <w:i w:val="false"/>
            <w:color w:val="000000"/>
            <w:sz w:val="22"/>
          </w:rPr>
          <w:t>620.4(2)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granting a motion to vacate is subject to interlocutory appeal by the adverse party in accordance with subrule </w:t>
      </w:r>
      <w:hyperlink r:id="rId11">
        <w:r>
          <w:rPr>
            <w:rStyle w:val="Hyperlink"/>
            <w:rFonts w:ascii="Times New Roman" w:hAnsi="Times New Roman"/>
            <w:b w:val="false"/>
            <w:i w:val="false"/>
            <w:color w:val="000000"/>
            <w:sz w:val="22"/>
          </w:rPr>
          <w:t>620.4(2)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620.4(5)</w:t>
      </w:r>
      <w:r>
        <w:rPr>
          <w:rFonts w:ascii="Times New Roman" w:hAnsi="Times New Roman"/>
          <w:b w:val="false"/>
          <w:i w:val="false"/>
          <w:color w:val="000000"/>
          <w:sz w:val="22"/>
        </w:rPr>
        <w:t> </w:t>
      </w:r>
      <w:r>
        <w:rPr>
          <w:rFonts w:ascii="Times New Roman" w:hAnsi="Times New Roman"/>
          <w:b w:val="false"/>
          <w:i/>
          <w:color w:val="000000"/>
          <w:sz w:val="22"/>
        </w:rPr>
        <w:t xml:space="preserve">Petition to reopen a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to reopen a hearing pursuant to Iowa Code section </w:t>
      </w:r>
      <w:hyperlink r:id="rId12">
        <w:r>
          <w:rPr>
            <w:rStyle w:val="Hyperlink"/>
            <w:rFonts w:ascii="Times New Roman" w:hAnsi="Times New Roman"/>
            <w:b w:val="false"/>
            <w:i w:val="false"/>
            <w:color w:val="000000"/>
            <w:sz w:val="22"/>
          </w:rPr>
          <w:t>17A.16</w:t>
        </w:r>
      </w:hyperlink>
      <w:r>
        <w:rPr>
          <w:rFonts w:ascii="Times New Roman" w:hAnsi="Times New Roman"/>
          <w:b w:val="false"/>
          <w:i w:val="false"/>
          <w:color w:val="000000"/>
          <w:sz w:val="22"/>
        </w:rPr>
        <w:t xml:space="preserve"> shall be submitted in writing to the director of the motor vehicle division. If a petition is based on a court order, a copy of the court order shall be submitted with the petition. If a petition is based on new evidence, the petitioner shall submit a concise statement of the new evidence and the reason(s) for the unavailability of the evidence at the original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petition to reopen a hearing may be submitted at any time even if a hearing to contest the revocation was not originally requested or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may appeal a denial of the petition to reopen. The appeal shall be deemed timely if it is delivered to the director of the motor vehicle division or properly addressed and postmarked within 20 days after issuance of the decision denying the petition to reopen.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4001C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4760C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 xml:space="preserve">; </w:t>
      </w:r>
      <w:r>
        <w:rPr>
          <w:rFonts w:ascii="Times New Roman" w:hAnsi="Times New Roman"/>
          <w:b/>
          <w:i w:val="false"/>
          <w:color w:val="000000"/>
          <w:sz w:val="16"/>
        </w:rPr>
        <w:t>ARC 5941C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761—620.5</w:t>
      </w:r>
      <w:r>
        <w:rPr>
          <w:rFonts w:ascii="Times New Roman" w:hAnsi="Times New Roman"/>
          <w:b/>
          <w:i w:val="false"/>
          <w:color w:val="000000"/>
          <w:sz w:val="22"/>
        </w:rPr>
        <w:t xml:space="preserve">(321J) </w:t>
      </w:r>
      <w:r>
        <w:rPr>
          <w:rFonts w:ascii="Times New Roman" w:hAnsi="Times New Roman"/>
          <w:b/>
          <w:i w:val="false"/>
          <w:color w:val="000000"/>
          <w:sz w:val="22"/>
        </w:rPr>
        <w:t xml:space="preserve">Reinstatement. </w:t>
      </w:r>
      <w:r>
        <w:rPr>
          <w:rFonts w:ascii="Times New Roman" w:hAnsi="Times New Roman"/>
          <w:b w:val="false"/>
          <w:i w:val="false"/>
          <w:color w:val="000000"/>
          <w:sz w:val="22"/>
        </w:rPr>
        <w:t>The department may reinstate the license when the revocation has ended if the person has: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620.5(1)</w:t>
      </w:r>
      <w:r>
        <w:rPr>
          <w:rFonts w:ascii="Times New Roman" w:hAnsi="Times New Roman"/>
          <w:b w:val="false"/>
          <w:i w:val="false"/>
          <w:color w:val="000000"/>
          <w:sz w:val="22"/>
        </w:rPr>
        <w:t> </w:t>
      </w:r>
      <w:r>
        <w:rPr>
          <w:rFonts w:ascii="Times New Roman" w:hAnsi="Times New Roman"/>
          <w:b w:val="false"/>
          <w:i w:val="false"/>
          <w:color w:val="000000"/>
          <w:sz w:val="22"/>
        </w:rPr>
        <w:t xml:space="preserve">Filed proof of financial responsibility under Iowa Code chapter </w:t>
      </w:r>
      <w:hyperlink r:id="rId13">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 xml:space="preserve"> for all motor vehicles to be operated.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620.5(2)</w:t>
      </w:r>
      <w:r>
        <w:rPr>
          <w:rFonts w:ascii="Times New Roman" w:hAnsi="Times New Roman"/>
          <w:b w:val="false"/>
          <w:i w:val="false"/>
          <w:color w:val="000000"/>
          <w:sz w:val="22"/>
        </w:rPr>
        <w:t> </w:t>
      </w:r>
      <w:r>
        <w:rPr>
          <w:rFonts w:ascii="Times New Roman" w:hAnsi="Times New Roman"/>
          <w:b w:val="false"/>
          <w:i w:val="false"/>
          <w:color w:val="000000"/>
          <w:sz w:val="22"/>
        </w:rPr>
        <w:t>Paid the $200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620.5(3)</w:t>
      </w:r>
      <w:r>
        <w:rPr>
          <w:rFonts w:ascii="Times New Roman" w:hAnsi="Times New Roman"/>
          <w:b w:val="false"/>
          <w:i w:val="false"/>
          <w:color w:val="000000"/>
          <w:sz w:val="22"/>
        </w:rPr>
        <w:t> </w:t>
      </w:r>
      <w:r>
        <w:rPr>
          <w:rFonts w:ascii="Times New Roman" w:hAnsi="Times New Roman"/>
          <w:b w:val="false"/>
          <w:i w:val="false"/>
          <w:color w:val="000000"/>
          <w:sz w:val="22"/>
        </w:rPr>
        <w:t>Provided proof of satisfactory completion of a course for drinking drivers and proof of completion of substance abuse evaluation and treatment or rehabilitation services on a form and in a manner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620.5(4)</w:t>
      </w:r>
      <w:r>
        <w:rPr>
          <w:rFonts w:ascii="Times New Roman" w:hAnsi="Times New Roman"/>
          <w:b w:val="false"/>
          <w:i w:val="false"/>
          <w:color w:val="000000"/>
          <w:sz w:val="22"/>
        </w:rPr>
        <w:t> </w:t>
      </w:r>
      <w:r>
        <w:rPr>
          <w:rFonts w:ascii="Times New Roman" w:hAnsi="Times New Roman"/>
          <w:b w:val="false"/>
          <w:i w:val="false"/>
          <w:color w:val="000000"/>
          <w:sz w:val="22"/>
        </w:rPr>
        <w:t>Successfully completed the required driver license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620.5(5)</w:t>
      </w:r>
      <w:r>
        <w:rPr>
          <w:rFonts w:ascii="Times New Roman" w:hAnsi="Times New Roman"/>
          <w:b w:val="false"/>
          <w:i w:val="false"/>
          <w:color w:val="000000"/>
          <w:sz w:val="22"/>
        </w:rPr>
        <w:t> </w:t>
      </w:r>
      <w:r>
        <w:rPr>
          <w:rFonts w:ascii="Times New Roman" w:hAnsi="Times New Roman"/>
          <w:b w:val="false"/>
          <w:i w:val="false"/>
          <w:color w:val="000000"/>
          <w:sz w:val="22"/>
        </w:rPr>
        <w:t>Paid the specified reinstatement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620.5(6)</w:t>
      </w:r>
      <w:r>
        <w:rPr>
          <w:rFonts w:ascii="Times New Roman" w:hAnsi="Times New Roman"/>
          <w:b w:val="false"/>
          <w:i w:val="false"/>
          <w:color w:val="000000"/>
          <w:sz w:val="22"/>
        </w:rPr>
        <w:t> </w:t>
      </w:r>
      <w:r>
        <w:rPr>
          <w:rFonts w:ascii="Times New Roman" w:hAnsi="Times New Roman"/>
          <w:b w:val="false"/>
          <w:i w:val="false"/>
          <w:color w:val="000000"/>
          <w:sz w:val="22"/>
        </w:rPr>
        <w:t>Paid the appropriate license or permit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620.5(7)</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Provided, if required by Iowa Code section </w:t>
      </w:r>
      <w:hyperlink r:id="rId14">
        <w:r>
          <w:rPr>
            <w:rStyle w:val="Hyperlink"/>
            <w:rFonts w:ascii="Times New Roman" w:hAnsi="Times New Roman"/>
            <w:b w:val="false"/>
            <w:i w:val="false"/>
            <w:color w:val="000000"/>
            <w:sz w:val="22"/>
          </w:rPr>
          <w:t>321J.17(3)</w:t>
        </w:r>
      </w:hyperlink>
      <w:r>
        <w:rPr>
          <w:rFonts w:ascii="Times New Roman" w:hAnsi="Times New Roman"/>
          <w:b w:val="false"/>
          <w:i w:val="false"/>
          <w:color w:val="000000"/>
          <w:sz w:val="22"/>
        </w:rPr>
        <w:t xml:space="preserve">, proof of installation of an approved ignition interlock device or proof the person remains in compliance with the ignition interlock device requirement if the device was installed for a temporary restricted license.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4001C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5429C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761—620.6</w:t>
      </w:r>
      <w:r>
        <w:rPr>
          <w:rFonts w:ascii="Times New Roman" w:hAnsi="Times New Roman"/>
          <w:b/>
          <w:i w:val="false"/>
          <w:color w:val="000000"/>
          <w:sz w:val="22"/>
        </w:rPr>
        <w:t xml:space="preserve">(321J) </w:t>
      </w:r>
      <w:r>
        <w:rPr>
          <w:rFonts w:ascii="Times New Roman" w:hAnsi="Times New Roman"/>
          <w:b/>
          <w:i w:val="false"/>
          <w:color w:val="000000"/>
          <w:sz w:val="22"/>
        </w:rPr>
        <w:t xml:space="preserve">Issuance of temporary restricted license after revocation period has expired. </w:t>
      </w:r>
      <w:r>
        <w:rPr>
          <w:rFonts w:ascii="Times New Roman" w:hAnsi="Times New Roman"/>
          <w:b w:val="false"/>
          <w:i w:val="false"/>
          <w:color w:val="000000"/>
          <w:sz w:val="22"/>
        </w:rPr>
        <w:t xml:space="preserve">The department may issue a temporary restricted license to a person whose period of revocation under Iowa Code chapter </w:t>
      </w:r>
      <w:hyperlink r:id="rId15">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xml:space="preserve"> has expired but who has not met all the requirements for license reinstatement. The period of issuance shall be determined by the department, but it shall not exceed six months from the end of the original revocation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620.6(1)</w:t>
      </w:r>
      <w:r>
        <w:rPr>
          <w:rFonts w:ascii="Times New Roman" w:hAnsi="Times New Roman"/>
          <w:b w:val="false"/>
          <w:i w:val="false"/>
          <w:color w:val="000000"/>
          <w:sz w:val="22"/>
        </w:rPr>
        <w:t> </w:t>
      </w:r>
      <w:r>
        <w:rPr>
          <w:rFonts w:ascii="Times New Roman" w:hAnsi="Times New Roman"/>
          <w:b w:val="false"/>
          <w:i w:val="false"/>
          <w:color w:val="000000"/>
          <w:sz w:val="22"/>
        </w:rPr>
        <w:t>An applicant for a temporary restricted license under this rule must meet one of the following two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must demonstrate to the satisfaction of the department that a course for drinking drivers was not readily available to the person during the revocation period and that the applicant has enrolled in a course for drinking drivers. The applicant must furnish the dates the class will begin and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must demonstrate to the satisfaction of the department that substance abuse evaluation and treatment or rehabilitation services have not been completed because of an inability to schedule them or because they are ongoing.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620.6(2)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temporary restricted license under this rule must meet all other conditions for issuance of a temporary restricted license under rule </w:t>
      </w:r>
      <w:hyperlink r:id="rId16">
        <w:r>
          <w:rPr>
            <w:rStyle w:val="Hyperlink"/>
            <w:rFonts w:ascii="Times New Roman" w:hAnsi="Times New Roman"/>
            <w:b w:val="false"/>
            <w:i w:val="false"/>
            <w:color w:val="000000"/>
            <w:sz w:val="22"/>
          </w:rPr>
          <w:t>761—620.3</w:t>
        </w:r>
      </w:hyperlink>
      <w:r>
        <w:rPr>
          <w:rFonts w:ascii="Times New Roman" w:hAnsi="Times New Roman"/>
          <w:b w:val="false"/>
          <w:i w:val="false"/>
          <w:color w:val="000000"/>
          <w:sz w:val="22"/>
        </w:rPr>
        <w:t xml:space="preserve">(321J) and Iowa Code section </w:t>
      </w:r>
      <w:hyperlink r:id="rId17">
        <w:r>
          <w:rPr>
            <w:rStyle w:val="Hyperlink"/>
            <w:rFonts w:ascii="Times New Roman" w:hAnsi="Times New Roman"/>
            <w:b w:val="false"/>
            <w:i w:val="false"/>
            <w:color w:val="000000"/>
            <w:sz w:val="22"/>
          </w:rPr>
          <w:t>321J.20</w:t>
        </w:r>
      </w:hyperlink>
      <w:r>
        <w:rPr>
          <w:rFonts w:ascii="Times New Roman" w:hAnsi="Times New Roman"/>
          <w:b w:val="false"/>
          <w:i w:val="false"/>
          <w:color w:val="000000"/>
          <w:sz w:val="22"/>
        </w:rPr>
        <w:t>, including installation of an ignition interlock device.</w:t>
      </w:r>
    </w:p>
    <w:p>
      <w:pPr>
        <w:spacing w:before="210" w:after="0"/>
        <w:ind w:left="120"/>
        <w:jc w:val="both"/>
      </w:pPr>
      <w:r>
        <w:rPr>
          <w:rFonts w:ascii="Times New Roman" w:hAnsi="Times New Roman"/>
          <w:b/>
          <w:i w:val="false"/>
          <w:color w:val="000000"/>
          <w:sz w:val="22"/>
        </w:rPr>
        <w:t>761—620.7</w:t>
      </w:r>
      <w:r>
        <w:rPr>
          <w:rFonts w:ascii="Times New Roman" w:hAnsi="Times New Roman"/>
          <w:b w:val="false"/>
          <w:i w:val="false"/>
          <w:color w:val="000000"/>
          <w:sz w:val="22"/>
        </w:rPr>
        <w:t xml:space="preserve"> to </w:t>
      </w:r>
      <w:r>
        <w:rPr>
          <w:rFonts w:ascii="Times New Roman" w:hAnsi="Times New Roman"/>
          <w:b/>
          <w:i w:val="false"/>
          <w:color w:val="000000"/>
          <w:sz w:val="22"/>
        </w:rPr>
        <w:t>620.9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761—620.10</w:t>
      </w:r>
      <w:r>
        <w:rPr>
          <w:rFonts w:ascii="Times New Roman" w:hAnsi="Times New Roman"/>
          <w:b/>
          <w:i w:val="false"/>
          <w:color w:val="000000"/>
          <w:sz w:val="22"/>
        </w:rPr>
        <w:t xml:space="preserve">(321J) </w:t>
      </w:r>
      <w:r>
        <w:rPr>
          <w:rFonts w:ascii="Times New Roman" w:hAnsi="Times New Roman"/>
          <w:b/>
          <w:i w:val="false"/>
          <w:color w:val="000000"/>
          <w:sz w:val="22"/>
        </w:rPr>
        <w:t xml:space="preserve">Revocation for deferred judgment. </w:t>
      </w:r>
      <w:r>
        <w:rPr>
          <w:rFonts w:ascii="Times New Roman" w:hAnsi="Times New Roman"/>
          <w:b w:val="false"/>
          <w:i w:val="false"/>
          <w:color w:val="000000"/>
          <w:sz w:val="22"/>
        </w:rPr>
        <w:t xml:space="preserve">The revocation period under Iowa Code subsection </w:t>
      </w:r>
      <w:hyperlink r:id="rId18">
        <w:r>
          <w:rPr>
            <w:rStyle w:val="Hyperlink"/>
            <w:rFonts w:ascii="Times New Roman" w:hAnsi="Times New Roman"/>
            <w:b w:val="false"/>
            <w:i w:val="false"/>
            <w:color w:val="000000"/>
            <w:sz w:val="22"/>
          </w:rPr>
          <w:t>321J.4(3)</w:t>
        </w:r>
      </w:hyperlink>
      <w:r>
        <w:rPr>
          <w:rFonts w:ascii="Times New Roman" w:hAnsi="Times New Roman"/>
          <w:b w:val="false"/>
          <w:i w:val="false"/>
          <w:color w:val="000000"/>
          <w:sz w:val="22"/>
        </w:rPr>
        <w:t xml:space="preserve"> shall be 90 days.</w:t>
      </w:r>
    </w:p>
    <w:p>
      <w:pPr>
        <w:spacing w:before="210" w:after="0"/>
        <w:ind w:left="120"/>
        <w:jc w:val="both"/>
      </w:pPr>
      <w:r>
        <w:rPr>
          <w:rFonts w:ascii="Times New Roman" w:hAnsi="Times New Roman"/>
          <w:b/>
          <w:i w:val="false"/>
          <w:color w:val="000000"/>
          <w:sz w:val="22"/>
        </w:rPr>
        <w:t>761—620.11</w:t>
      </w:r>
      <w:r>
        <w:rPr>
          <w:rFonts w:ascii="Times New Roman" w:hAnsi="Times New Roman"/>
          <w:b w:val="false"/>
          <w:i w:val="false"/>
          <w:color w:val="000000"/>
          <w:sz w:val="22"/>
        </w:rPr>
        <w:t xml:space="preserve"> to </w:t>
      </w:r>
      <w:r>
        <w:rPr>
          <w:rFonts w:ascii="Times New Roman" w:hAnsi="Times New Roman"/>
          <w:b/>
          <w:i w:val="false"/>
          <w:color w:val="000000"/>
          <w:sz w:val="22"/>
        </w:rPr>
        <w:t>620.14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761—620.15</w:t>
      </w:r>
      <w:r>
        <w:rPr>
          <w:rFonts w:ascii="Times New Roman" w:hAnsi="Times New Roman"/>
          <w:b/>
          <w:i w:val="false"/>
          <w:color w:val="000000"/>
          <w:sz w:val="22"/>
        </w:rPr>
        <w:t xml:space="preserve">(321J) </w:t>
      </w:r>
      <w:r>
        <w:rPr>
          <w:rFonts w:ascii="Times New Roman" w:hAnsi="Times New Roman"/>
          <w:b/>
          <w:i w:val="false"/>
          <w:color w:val="000000"/>
          <w:sz w:val="22"/>
        </w:rPr>
        <w:t xml:space="preserve">Substance abuse evaluation and treatment or rehabilitation services. </w:t>
      </w:r>
      <w:r>
        <w:rPr>
          <w:rFonts w:ascii="Times New Roman" w:hAnsi="Times New Roman"/>
          <w:b w:val="false"/>
          <w:i w:val="false"/>
          <w:color w:val="000000"/>
          <w:sz w:val="22"/>
        </w:rPr>
        <w:t xml:space="preserve">When the department revokes a person’s license under Iowa Code chapter </w:t>
      </w:r>
      <w:hyperlink r:id="rId19">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the department shall also order the person to submit to substance abuse evaluation and, if recommended, treatment or rehabilitation services. A provider of substance abuse evaluation and treatment or rehabilitation programs shall be licensed by the Iowa department of public health, division of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620.15(1)</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person who has been ordered to attend a substance abuse program has satisfactorily completed the program, the program provider shall electronically report completion to the department in a manner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Reporting to the department shall be in accordance with Iowa Code sections </w:t>
      </w:r>
      <w:hyperlink r:id="rId20">
        <w:r>
          <w:rPr>
            <w:rStyle w:val="Hyperlink"/>
            <w:rFonts w:ascii="Times New Roman" w:hAnsi="Times New Roman"/>
            <w:b w:val="false"/>
            <w:i w:val="false"/>
            <w:color w:val="000000"/>
            <w:sz w:val="22"/>
          </w:rPr>
          <w:t>125.37</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125.84</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125.86</w:t>
        </w:r>
      </w:hyperlink>
      <w:r>
        <w:rPr>
          <w:rFonts w:ascii="Times New Roman" w:hAnsi="Times New Roman"/>
          <w:b w:val="false"/>
          <w:i w:val="false"/>
          <w:color w:val="000000"/>
          <w:sz w:val="22"/>
        </w:rPr>
        <w:t xml:space="preserve"> and the federal confidentiality regulations, “Confidentiality of Alcohol and Drug Abuse Patient Records,” 42 CFR Part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620.15(2)</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Payment of substance abuse evaluation and treatment or rehabilitation costs shall be in accordance with Iowa department of public health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4001C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761—620.16</w:t>
      </w:r>
      <w:r>
        <w:rPr>
          <w:rFonts w:ascii="Times New Roman" w:hAnsi="Times New Roman"/>
          <w:b/>
          <w:i w:val="false"/>
          <w:color w:val="000000"/>
          <w:sz w:val="22"/>
        </w:rPr>
        <w:t xml:space="preserve">(321J) </w:t>
      </w:r>
      <w:r>
        <w:rPr>
          <w:rFonts w:ascii="Times New Roman" w:hAnsi="Times New Roman"/>
          <w:b/>
          <w:i w:val="false"/>
          <w:color w:val="000000"/>
          <w:sz w:val="22"/>
        </w:rPr>
        <w:t xml:space="preserve">Drinking drivers course. </w:t>
      </w:r>
      <w:r>
        <w:rPr>
          <w:rFonts w:ascii="Times New Roman" w:hAnsi="Times New Roman"/>
          <w:b w:val="false"/>
          <w:i w:val="false"/>
          <w:color w:val="000000"/>
          <w:sz w:val="22"/>
        </w:rPr>
        <w:t xml:space="preserve">When the department revokes a person’s license under Iowa Code chapter </w:t>
      </w:r>
      <w:hyperlink r:id="rId23">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xml:space="preserve">, the department shall order the person to enroll, attend and satisfactorily complete a course for drinking drivers, as provided in Iowa Code section </w:t>
      </w:r>
      <w:hyperlink r:id="rId24">
        <w:r>
          <w:rPr>
            <w:rStyle w:val="Hyperlink"/>
            <w:rFonts w:ascii="Times New Roman" w:hAnsi="Times New Roman"/>
            <w:b w:val="false"/>
            <w:i w:val="false"/>
            <w:color w:val="000000"/>
            <w:sz w:val="22"/>
          </w:rPr>
          <w:t>321J.22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620.16(1)</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person who has been ordered to attend a drinking drivers course has successfully completed the course, the program provider under Iowa Code section </w:t>
      </w:r>
      <w:hyperlink r:id="rId25">
        <w:r>
          <w:rPr>
            <w:rStyle w:val="Hyperlink"/>
            <w:rFonts w:ascii="Times New Roman" w:hAnsi="Times New Roman"/>
            <w:b w:val="false"/>
            <w:i w:val="false"/>
            <w:color w:val="000000"/>
            <w:sz w:val="22"/>
          </w:rPr>
          <w:t>321J.22(2)</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electronically report completion to the department in a manner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620.16(2)</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 xml:space="preserve">A person ordered to complete a drinking drivers course is responsible for payment of course fees and expenses in accordance with Iowa Code section </w:t>
      </w:r>
      <w:hyperlink r:id="rId26">
        <w:r>
          <w:rPr>
            <w:rStyle w:val="Hyperlink"/>
            <w:rFonts w:ascii="Times New Roman" w:hAnsi="Times New Roman"/>
            <w:b w:val="false"/>
            <w:i w:val="false"/>
            <w:color w:val="000000"/>
            <w:sz w:val="22"/>
          </w:rPr>
          <w:t>321J.22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4001C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761—620.17</w:t>
      </w:r>
      <w:r>
        <w:rPr>
          <w:rFonts w:ascii="Times New Roman" w:hAnsi="Times New Roman"/>
          <w:b/>
          <w:i w:val="false"/>
          <w:color w:val="000000"/>
          <w:sz w:val="22"/>
        </w:rPr>
        <w:t xml:space="preserve">(321J) </w:t>
      </w:r>
      <w:r>
        <w:rPr>
          <w:rFonts w:ascii="Times New Roman" w:hAnsi="Times New Roman"/>
          <w:b/>
          <w:i w:val="false"/>
          <w:color w:val="000000"/>
          <w:sz w:val="22"/>
        </w:rPr>
        <w:t xml:space="preserve">Sobriety and drug monitoring program. </w:t>
      </w:r>
      <w:r>
        <w:rPr>
          <w:rFonts w:ascii="Times New Roman" w:hAnsi="Times New Roman"/>
          <w:b w:val="false"/>
          <w:i w:val="false"/>
          <w:color w:val="000000"/>
          <w:sz w:val="22"/>
        </w:rPr>
        <w:t xml:space="preserve">Rescinded </w:t>
      </w:r>
      <w:r>
        <w:rPr>
          <w:rFonts w:ascii="Times New Roman" w:hAnsi="Times New Roman"/>
          <w:b/>
          <w:i w:val="false"/>
          <w:color w:val="000000"/>
          <w:sz w:val="22"/>
        </w:rPr>
        <w:t>ARC 5429C</w:t>
      </w:r>
      <w:r>
        <w:rPr>
          <w:rFonts w:ascii="Times New Roman" w:hAnsi="Times New Roman"/>
          <w:b w:val="false"/>
          <w:i w:val="false"/>
          <w:color w:val="000000"/>
          <w:sz w:val="22"/>
        </w:rPr>
        <w:t xml:space="preserve">, </w:t>
      </w:r>
      <w:r>
        <w:rPr>
          <w:rFonts w:ascii="Times New Roman" w:hAnsi="Times New Roman"/>
          <w:b w:val="false"/>
          <w:i w:val="false"/>
          <w:color w:val="000000"/>
          <w:sz w:val="22"/>
        </w:rPr>
        <w:t>IAB 2/10/21</w:t>
      </w:r>
      <w:r>
        <w:rPr>
          <w:rFonts w:ascii="Times New Roman" w:hAnsi="Times New Roman"/>
          <w:b w:val="false"/>
          <w:i w:val="false"/>
          <w:color w:val="000000"/>
          <w:sz w:val="22"/>
        </w:rPr>
        <w:t xml:space="preserve">, effective 3/17/21. </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chapter </w:t>
      </w:r>
      <w:hyperlink r:id="rId28">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House File 757</w:t>
      </w:r>
      <w:r>
        <w:rPr>
          <w:rFonts w:ascii="Times New Roman" w:hAnsi="Times New Roman"/>
          <w:b w:val="false"/>
          <w:i w:val="false"/>
          <w:color w:val="000000"/>
          <w:sz w:val="22"/>
        </w:rPr>
        <w:t xml:space="preserve">, sections 2 to 7; and sections </w:t>
      </w:r>
      <w:hyperlink r:id="rId29">
        <w:r>
          <w:rPr>
            <w:rStyle w:val="Hyperlink"/>
            <w:rFonts w:ascii="Times New Roman" w:hAnsi="Times New Roman"/>
            <w:b w:val="false"/>
            <w:i w:val="false"/>
            <w:color w:val="000000"/>
            <w:sz w:val="22"/>
          </w:rPr>
          <w:t>321.193</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321.201</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321.376</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707.6A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5/27/82—published 6/23/82, effective 7/1/82]</w:t>
      </w:r>
    </w:p>
    <w:p>
      <w:pPr>
        <w:spacing w:before="0" w:after="0"/>
        <w:ind w:left="120"/>
        <w:jc w:val="center"/>
      </w:pPr>
      <w:r>
        <w:rPr>
          <w:rFonts w:ascii="Times New Roman" w:hAnsi="Times New Roman"/>
          <w:b w:val="false"/>
          <w:i w:val="false"/>
          <w:color w:val="000000"/>
          <w:sz w:val="21"/>
        </w:rPr>
        <w:t>[Filed 12/1/82, Notice 6/23/82—published 12/22/82, effective 1/26/83]</w:t>
      </w:r>
    </w:p>
    <w:p>
      <w:pPr>
        <w:spacing w:before="0" w:after="0"/>
        <w:ind w:left="120"/>
        <w:jc w:val="center"/>
      </w:pPr>
      <w:r>
        <w:rPr>
          <w:rFonts w:ascii="Times New Roman" w:hAnsi="Times New Roman"/>
          <w:b w:val="false"/>
          <w:i w:val="false"/>
          <w:color w:val="000000"/>
          <w:sz w:val="21"/>
        </w:rPr>
        <w:t>[Filed emergency 6/20/84—published 7/18/84, effective 7/1/84]</w:t>
      </w:r>
    </w:p>
    <w:p>
      <w:pPr>
        <w:spacing w:before="0" w:after="0"/>
        <w:ind w:left="120"/>
        <w:jc w:val="center"/>
      </w:pPr>
      <w:r>
        <w:rPr>
          <w:rFonts w:ascii="Times New Roman" w:hAnsi="Times New Roman"/>
          <w:b w:val="false"/>
          <w:i w:val="false"/>
          <w:color w:val="000000"/>
          <w:sz w:val="21"/>
        </w:rPr>
        <w:t>[Filed 11/27/85, Notice 10/9/85—published 12/18/85, effective 1/22/86]</w:t>
      </w:r>
    </w:p>
    <w:p>
      <w:pPr>
        <w:spacing w:before="0" w:after="0"/>
        <w:ind w:left="120"/>
        <w:jc w:val="center"/>
      </w:pPr>
      <w:r>
        <w:rPr>
          <w:rFonts w:ascii="Times New Roman" w:hAnsi="Times New Roman"/>
          <w:b w:val="false"/>
          <w:i w:val="false"/>
          <w:color w:val="000000"/>
          <w:sz w:val="21"/>
        </w:rPr>
        <w:t>[Filed emergency 6/20/86—published 7/16/86, effective 7/1/86]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1/20/88, Notice 12/2/87—published 2/10/88, effective 3/16/88]</w:t>
      </w:r>
    </w:p>
    <w:p>
      <w:pPr>
        <w:spacing w:before="0" w:after="0"/>
        <w:ind w:left="120"/>
        <w:jc w:val="center"/>
      </w:pPr>
      <w:r>
        <w:rPr>
          <w:rFonts w:ascii="Times New Roman" w:hAnsi="Times New Roman"/>
          <w:b w:val="false"/>
          <w:i w:val="false"/>
          <w:color w:val="000000"/>
          <w:sz w:val="21"/>
        </w:rPr>
        <w:t>[Filed emergency 5/16/88—published 6/15/88, effective 5/16/88]</w:t>
      </w:r>
    </w:p>
    <w:p>
      <w:pPr>
        <w:spacing w:before="0" w:after="0"/>
        <w:ind w:left="120"/>
        <w:jc w:val="center"/>
      </w:pPr>
      <w:r>
        <w:rPr>
          <w:rFonts w:ascii="Times New Roman" w:hAnsi="Times New Roman"/>
          <w:b w:val="false"/>
          <w:i w:val="false"/>
          <w:color w:val="000000"/>
          <w:sz w:val="21"/>
        </w:rPr>
        <w:t>[Filed 11/3/88, Notice 9/21/88—published 11/30/88, effective 1/4/89]</w:t>
      </w:r>
    </w:p>
    <w:p>
      <w:pPr>
        <w:spacing w:before="0" w:after="0"/>
        <w:ind w:left="120"/>
        <w:jc w:val="center"/>
      </w:pPr>
      <w:r>
        <w:rPr>
          <w:rFonts w:ascii="Times New Roman" w:hAnsi="Times New Roman"/>
          <w:b w:val="false"/>
          <w:i w:val="false"/>
          <w:color w:val="000000"/>
          <w:sz w:val="21"/>
        </w:rPr>
        <w:t>[Filed 3/23/89, Notice 2/8/89—published 4/19/89, effective 5/24/89]</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12/18/91, Notice 11/13/91—published 1/8/92, effective 2/12/92]</w:t>
      </w:r>
    </w:p>
    <w:p>
      <w:pPr>
        <w:spacing w:before="0" w:after="0"/>
        <w:ind w:left="120"/>
        <w:jc w:val="center"/>
      </w:pPr>
      <w:r>
        <w:rPr>
          <w:rFonts w:ascii="Times New Roman" w:hAnsi="Times New Roman"/>
          <w:b w:val="false"/>
          <w:i w:val="false"/>
          <w:color w:val="000000"/>
          <w:sz w:val="21"/>
        </w:rPr>
        <w:t>[Filed 11/4/93, Notice 9/29/93—published 11/24/93, effective 12/29/93]</w:t>
      </w:r>
    </w:p>
    <w:p>
      <w:pPr>
        <w:spacing w:before="0" w:after="0"/>
        <w:ind w:left="120"/>
        <w:jc w:val="center"/>
      </w:pPr>
      <w:r>
        <w:rPr>
          <w:rFonts w:ascii="Times New Roman" w:hAnsi="Times New Roman"/>
          <w:b w:val="false"/>
          <w:i w:val="false"/>
          <w:color w:val="000000"/>
          <w:sz w:val="21"/>
        </w:rPr>
        <w:t>[Filed 11/1/95, Notice 9/27/95—published 11/22/95, effective 12/27/95]</w:t>
      </w:r>
    </w:p>
    <w:p>
      <w:pPr>
        <w:spacing w:before="0" w:after="0"/>
        <w:ind w:left="120"/>
        <w:jc w:val="center"/>
      </w:pPr>
      <w:r>
        <w:rPr>
          <w:rFonts w:ascii="Times New Roman" w:hAnsi="Times New Roman"/>
          <w:b w:val="false"/>
          <w:i w:val="false"/>
          <w:color w:val="000000"/>
          <w:sz w:val="21"/>
        </w:rPr>
        <w:t>[Filed 12/24/97, Notice 11/19/97—published 1/14/98, effective 2/18/98]</w:t>
      </w:r>
    </w:p>
    <w:p>
      <w:pPr>
        <w:spacing w:before="0" w:after="0"/>
        <w:ind w:left="120"/>
        <w:jc w:val="center"/>
      </w:pPr>
      <w:r>
        <w:rPr>
          <w:rFonts w:ascii="Times New Roman" w:hAnsi="Times New Roman"/>
          <w:b w:val="false"/>
          <w:i w:val="false"/>
          <w:color w:val="000000"/>
          <w:sz w:val="21"/>
        </w:rPr>
        <w:t>[Filed 1/21/98, Notice 12/17/97—published 2/11/98, effective 3/18/98]</w:t>
      </w:r>
    </w:p>
    <w:p>
      <w:pPr>
        <w:spacing w:before="0" w:after="0"/>
        <w:ind w:left="120"/>
        <w:jc w:val="center"/>
      </w:pPr>
      <w:r>
        <w:rPr>
          <w:rFonts w:ascii="Times New Roman" w:hAnsi="Times New Roman"/>
          <w:b w:val="false"/>
          <w:i w:val="false"/>
          <w:color w:val="000000"/>
          <w:sz w:val="21"/>
        </w:rPr>
        <w:t>[Filed 10/28/98, Notice 9/23/98—published 11/18/98, effective 12/23/98]</w:t>
      </w:r>
    </w:p>
    <w:p>
      <w:pPr>
        <w:spacing w:before="0" w:after="0"/>
        <w:ind w:left="120"/>
        <w:jc w:val="center"/>
      </w:pPr>
      <w:r>
        <w:rPr>
          <w:rFonts w:ascii="Times New Roman" w:hAnsi="Times New Roman"/>
          <w:b w:val="false"/>
          <w:i w:val="false"/>
          <w:color w:val="000000"/>
          <w:sz w:val="21"/>
        </w:rPr>
        <w:t>[Filed 2/17/99, Notice 1/13/99—published 3/10/99, effective 4/14/99]</w:t>
      </w:r>
    </w:p>
    <w:p>
      <w:pPr>
        <w:spacing w:before="0" w:after="0"/>
        <w:ind w:left="120"/>
        <w:jc w:val="center"/>
      </w:pPr>
      <w:r>
        <w:rPr>
          <w:rFonts w:ascii="Times New Roman" w:hAnsi="Times New Roman"/>
          <w:b w:val="false"/>
          <w:i w:val="false"/>
          <w:color w:val="000000"/>
          <w:sz w:val="21"/>
        </w:rPr>
        <w:t>[Filed 4/8/99, Notice 2/10/99—published 5/5/99, effective 7/1/99]</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10/11/06, Notice 8/30/06—published 11/8/06, effective 12/13/06]</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[Filed Emergency ARC 8024B, IAB 8/12/09, effective 7/14/09]</w:t>
      </w:r>
    </w:p>
    <w:p>
      <w:pPr>
        <w:spacing w:before="0" w:after="0"/>
        <w:ind w:left="120"/>
        <w:jc w:val="center"/>
      </w:pPr>
      <w:r>
        <w:rPr>
          <w:rFonts w:ascii="Times New Roman" w:hAnsi="Times New Roman"/>
          <w:b w:val="false"/>
          <w:i w:val="false"/>
          <w:color w:val="000000"/>
          <w:sz w:val="21"/>
        </w:rPr>
        <w:t>[Filed ARC 8203B</w:t>
      </w:r>
      <w:r>
        <w:rPr>
          <w:rFonts w:ascii="Times New Roman" w:hAnsi="Times New Roman"/>
          <w:b w:val="false"/>
          <w:i w:val="false"/>
          <w:color w:val="000000"/>
          <w:sz w:val="21"/>
        </w:rPr>
        <w:t xml:space="preserve"> (Notice ARC 8025B, IAB 8/12/09)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4001C</w:t>
      </w:r>
      <w:r>
        <w:rPr>
          <w:rFonts w:ascii="Times New Roman" w:hAnsi="Times New Roman"/>
          <w:b w:val="false"/>
          <w:i w:val="false"/>
          <w:color w:val="000000"/>
          <w:sz w:val="21"/>
        </w:rPr>
        <w:t xml:space="preserve"> (Notice ARC 3889C, IAB 7/18/18)</w:t>
      </w:r>
      <w:r>
        <w:rPr>
          <w:rFonts w:ascii="Times New Roman" w:hAnsi="Times New Roman"/>
          <w:b w:val="false"/>
          <w:i w:val="false"/>
          <w:color w:val="000000"/>
          <w:sz w:val="21"/>
        </w:rPr>
        <w:t>, IAB 9/12/18, effective 10/17/18]</w:t>
      </w:r>
    </w:p>
    <w:p>
      <w:pPr>
        <w:spacing w:before="0" w:after="0"/>
        <w:ind w:left="120"/>
        <w:jc w:val="center"/>
      </w:pPr>
      <w:r>
        <w:rPr>
          <w:rFonts w:ascii="Times New Roman" w:hAnsi="Times New Roman"/>
          <w:b w:val="false"/>
          <w:i w:val="false"/>
          <w:color w:val="000000"/>
          <w:sz w:val="21"/>
        </w:rPr>
        <w:t>[Filed ARC 4347C</w:t>
      </w:r>
      <w:r>
        <w:rPr>
          <w:rFonts w:ascii="Times New Roman" w:hAnsi="Times New Roman"/>
          <w:b w:val="false"/>
          <w:i w:val="false"/>
          <w:color w:val="000000"/>
          <w:sz w:val="21"/>
        </w:rPr>
        <w:t xml:space="preserve"> (Notice ARC 4229C,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4760C</w:t>
      </w:r>
      <w:r>
        <w:rPr>
          <w:rFonts w:ascii="Times New Roman" w:hAnsi="Times New Roman"/>
          <w:b w:val="false"/>
          <w:i w:val="false"/>
          <w:color w:val="000000"/>
          <w:sz w:val="21"/>
        </w:rPr>
        <w:t xml:space="preserve"> (Notice ARC 4623C, IAB 8/28/19)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5429C</w:t>
      </w:r>
      <w:r>
        <w:rPr>
          <w:rFonts w:ascii="Times New Roman" w:hAnsi="Times New Roman"/>
          <w:b w:val="false"/>
          <w:i w:val="false"/>
          <w:color w:val="000000"/>
          <w:sz w:val="21"/>
        </w:rPr>
        <w:t xml:space="preserve"> (Notice ARC 5311C, IAB 12/16/20)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5941C</w:t>
      </w:r>
      <w:r>
        <w:rPr>
          <w:rFonts w:ascii="Times New Roman" w:hAnsi="Times New Roman"/>
          <w:b w:val="false"/>
          <w:i w:val="false"/>
          <w:color w:val="000000"/>
          <w:sz w:val="21"/>
        </w:rPr>
        <w:t xml:space="preserve"> (Notice ARC 5858C, IAB 8/11/21)</w:t>
      </w:r>
      <w:r>
        <w:rPr>
          <w:rFonts w:ascii="Times New Roman" w:hAnsi="Times New Roman"/>
          <w:b w:val="false"/>
          <w:i w:val="false"/>
          <w:color w:val="000000"/>
          <w:sz w:val="21"/>
        </w:rPr>
        <w:t>, IAB 10/6/21, effective 11/10/21]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J.pdf" Type="http://schemas.openxmlformats.org/officeDocument/2006/relationships/hyperlink" Id="rId5"/>
    <Relationship TargetMode="External" Target="https://www.legis.iowa.gov/docs/ico/chapter/321A.pdf" Type="http://schemas.openxmlformats.org/officeDocument/2006/relationships/hyperlink" Id="rId6"/>
    <Relationship TargetMode="External" Target="https://www.legis.iowa.gov/docs/iac/rule/761.620.4.pdf" Type="http://schemas.openxmlformats.org/officeDocument/2006/relationships/hyperlink" Id="rId7"/>
    <Relationship TargetMode="External" Target="https://www.legis.iowa.gov/docs/ico/chapter/321J.pdf" Type="http://schemas.openxmlformats.org/officeDocument/2006/relationships/hyperlink" Id="rId8"/>
    <Relationship TargetMode="External" Target="https://www.legis.iowa.gov/docs/iac/rule/761.620.4.pdf" Type="http://schemas.openxmlformats.org/officeDocument/2006/relationships/hyperlink" Id="rId9"/>
    <Relationship TargetMode="External" Target="https://www.legis.iowa.gov/docs/iac/rule/761.620.4.pdf" Type="http://schemas.openxmlformats.org/officeDocument/2006/relationships/hyperlink" Id="rId10"/>
    <Relationship TargetMode="External" Target="https://www.legis.iowa.gov/docs/iac/rule/761.620.4.pdf" Type="http://schemas.openxmlformats.org/officeDocument/2006/relationships/hyperlink" Id="rId11"/>
    <Relationship TargetMode="External" Target="https://www.legis.iowa.gov/docs/ico/chapter/17A.16.pdf" Type="http://schemas.openxmlformats.org/officeDocument/2006/relationships/hyperlink" Id="rId12"/>
    <Relationship TargetMode="External" Target="https://www.legis.iowa.gov/docs/ico/chapter/321A.pdf" Type="http://schemas.openxmlformats.org/officeDocument/2006/relationships/hyperlink" Id="rId13"/>
    <Relationship TargetMode="External" Target="https://www.legis.iowa.gov/docs/ico/chapter/321J.17.pdf" Type="http://schemas.openxmlformats.org/officeDocument/2006/relationships/hyperlink" Id="rId14"/>
    <Relationship TargetMode="External" Target="https://www.legis.iowa.gov/docs/ico/chapter/321J.pdf" Type="http://schemas.openxmlformats.org/officeDocument/2006/relationships/hyperlink" Id="rId15"/>
    <Relationship TargetMode="External" Target="https://www.legis.iowa.gov/docs/iac/rule/761.620.3.pdf" Type="http://schemas.openxmlformats.org/officeDocument/2006/relationships/hyperlink" Id="rId16"/>
    <Relationship TargetMode="External" Target="https://www.legis.iowa.gov/docs/ico/chapter/321J.20.pdf" Type="http://schemas.openxmlformats.org/officeDocument/2006/relationships/hyperlink" Id="rId17"/>
    <Relationship TargetMode="External" Target="https://www.legis.iowa.gov/docs/ico/chapter/321J.4.pdf" Type="http://schemas.openxmlformats.org/officeDocument/2006/relationships/hyperlink" Id="rId18"/>
    <Relationship TargetMode="External" Target="https://www.legis.iowa.gov/docs/ico/chapter/321J.pdf" Type="http://schemas.openxmlformats.org/officeDocument/2006/relationships/hyperlink" Id="rId19"/>
    <Relationship TargetMode="External" Target="https://www.legis.iowa.gov/docs/ico/chapter/125.37.pdf" Type="http://schemas.openxmlformats.org/officeDocument/2006/relationships/hyperlink" Id="rId20"/>
    <Relationship TargetMode="External" Target="https://www.legis.iowa.gov/docs/ico/chapter/125.84.pdf" Type="http://schemas.openxmlformats.org/officeDocument/2006/relationships/hyperlink" Id="rId21"/>
    <Relationship TargetMode="External" Target="https://www.legis.iowa.gov/docs/ico/chapter/125.86.pdf" Type="http://schemas.openxmlformats.org/officeDocument/2006/relationships/hyperlink" Id="rId22"/>
    <Relationship TargetMode="External" Target="https://www.legis.iowa.gov/docs/ico/chapter/321J.pdf" Type="http://schemas.openxmlformats.org/officeDocument/2006/relationships/hyperlink" Id="rId23"/>
    <Relationship TargetMode="External" Target="https://www.legis.iowa.gov/docs/ico/chapter/321J.22.pdf" Type="http://schemas.openxmlformats.org/officeDocument/2006/relationships/hyperlink" Id="rId24"/>
    <Relationship TargetMode="External" Target="https://www.legis.iowa.gov/docs/ico/chapter/321J.22.pdf" Type="http://schemas.openxmlformats.org/officeDocument/2006/relationships/hyperlink" Id="rId25"/>
    <Relationship TargetMode="External" Target="https://www.legis.iowa.gov/docs/ico/chapter/321J.22.pdf" Type="http://schemas.openxmlformats.org/officeDocument/2006/relationships/hyperlink" Id="rId26"/>
    <Relationship TargetMode="External" Target="https://www.legis.iowa.gov/docs/ico/chapter/17A.pdf" Type="http://schemas.openxmlformats.org/officeDocument/2006/relationships/hyperlink" Id="rId27"/>
    <Relationship TargetMode="External" Target="https://www.legis.iowa.gov/docs/ico/chapter/321J.pdf" Type="http://schemas.openxmlformats.org/officeDocument/2006/relationships/hyperlink" Id="rId28"/>
    <Relationship TargetMode="External" Target="https://www.legis.iowa.gov/docs/ico/chapter/321.193.pdf" Type="http://schemas.openxmlformats.org/officeDocument/2006/relationships/hyperlink" Id="rId29"/>
    <Relationship TargetMode="External" Target="https://www.legis.iowa.gov/docs/ico/chapter/321.201.pdf" Type="http://schemas.openxmlformats.org/officeDocument/2006/relationships/hyperlink" Id="rId30"/>
    <Relationship TargetMode="External" Target="https://www.legis.iowa.gov/docs/ico/chapter/321.376.pdf" Type="http://schemas.openxmlformats.org/officeDocument/2006/relationships/hyperlink" Id="rId31"/>
    <Relationship TargetMode="External" Target="https://www.legis.iowa.gov/docs/ico/chapter/707.6A.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