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607</w:t>
      </w:r>
    </w:p>
    <w:p>
      <w:pPr>
        <w:spacing w:before="0" w:after="0"/>
        <w:ind w:left="120"/>
        <w:jc w:val="center"/>
      </w:pPr>
      <w:r>
        <w:rPr>
          <w:rFonts w:ascii="Times New Roman" w:hAnsi="Times New Roman"/>
          <w:b w:val="false"/>
          <w:i w:val="false"/>
          <w:color w:val="000000"/>
          <w:sz w:val="21"/>
        </w:rPr>
        <w:t>COMMERCIAL DRIVER LICENSING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761—607.1</w:t>
      </w:r>
      <w:r>
        <w:rPr>
          <w:rFonts w:ascii="Times New Roman" w:hAnsi="Times New Roman"/>
          <w:b/>
          <w:i w:val="false"/>
          <w:color w:val="000000"/>
          <w:sz w:val="22"/>
        </w:rPr>
        <w:t xml:space="preserve">(321) </w:t>
      </w:r>
      <w:r>
        <w:rPr>
          <w:rFonts w:ascii="Times New Roman" w:hAnsi="Times New Roman"/>
          <w:b/>
          <w:i w:val="false"/>
          <w:color w:val="000000"/>
          <w:sz w:val="22"/>
        </w:rPr>
        <w:t xml:space="preserve">Scope. </w:t>
      </w:r>
      <w:r>
        <w:rPr>
          <w:rFonts w:ascii="Times New Roman" w:hAnsi="Times New Roman"/>
          <w:b w:val="false"/>
          <w:i w:val="false"/>
          <w:color w:val="000000"/>
          <w:sz w:val="22"/>
        </w:rPr>
        <w:t>This chapter applies to licensing persons for the operation of commercial motor vehicles. Unless otherwise stated, the provisions of this chapter are in addition to other motor vehicle licensing rules.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5">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761—607.2</w:t>
      </w:r>
      <w:r>
        <w:rPr>
          <w:rFonts w:ascii="Times New Roman" w:hAnsi="Times New Roman"/>
          <w:b/>
          <w:i w:val="false"/>
          <w:color w:val="000000"/>
          <w:sz w:val="22"/>
        </w:rPr>
        <w:t xml:space="preserve">(17A) </w:t>
      </w:r>
      <w:r>
        <w:rPr>
          <w:rFonts w:ascii="Times New Roman" w:hAnsi="Times New Roman"/>
          <w:b/>
          <w:i w:val="false"/>
          <w:color w:val="000000"/>
          <w:sz w:val="22"/>
        </w:rPr>
        <w:t xml:space="preserve">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607.2(1)</w:t>
      </w:r>
      <w:r>
        <w:rPr>
          <w:rFonts w:ascii="Times New Roman" w:hAnsi="Times New Roman"/>
          <w:b w:val="false"/>
          <w:i w:val="false"/>
          <w:color w:val="000000"/>
          <w:sz w:val="22"/>
        </w:rPr>
        <w:t> </w:t>
      </w:r>
      <w:r>
        <w:rPr>
          <w:rFonts w:ascii="Times New Roman" w:hAnsi="Times New Roman"/>
          <w:b w:val="false"/>
          <w:i/>
          <w:color w:val="000000"/>
          <w:sz w:val="22"/>
        </w:rPr>
        <w:t xml:space="preserve">Information and location. </w:t>
      </w:r>
      <w:r>
        <w:rPr>
          <w:rFonts w:ascii="Times New Roman" w:hAnsi="Times New Roman"/>
          <w:b w:val="false"/>
          <w:i w:val="false"/>
          <w:color w:val="000000"/>
          <w:sz w:val="22"/>
        </w:rPr>
        <w:t xml:space="preserve">Applications, forms and information about the commercial driver’s license (CDL) are available at any driver’s license service center. Assistance is also available by mail from the Motor Vehicle Division, Iowa Department of Transportation, P.O. Box 9204, Des Moines, Iowa 50306-9204; in person at 6310 SE Convenience Blvd., Ankeny, Iowa; by telephone at 515.244.8725; by facsimile at 515.239.1837; or on the department’s website at </w:t>
      </w:r>
      <w:hyperlink r:id="rId6">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607.2(2)</w:t>
      </w:r>
      <w:r>
        <w:rPr>
          <w:rFonts w:ascii="Times New Roman" w:hAnsi="Times New Roman"/>
          <w:b w:val="false"/>
          <w:i w:val="false"/>
          <w:color w:val="000000"/>
          <w:sz w:val="22"/>
        </w:rPr>
        <w:t> </w:t>
      </w:r>
      <w:r>
        <w:rPr>
          <w:rFonts w:ascii="Times New Roman" w:hAnsi="Times New Roman"/>
          <w:b w:val="false"/>
          <w:i/>
          <w:color w:val="000000"/>
          <w:sz w:val="22"/>
        </w:rPr>
        <w:t xml:space="preserve">Manual. </w:t>
      </w:r>
      <w:r>
        <w:rPr>
          <w:rFonts w:ascii="Times New Roman" w:hAnsi="Times New Roman"/>
          <w:b w:val="false"/>
          <w:i w:val="false"/>
          <w:color w:val="000000"/>
          <w:sz w:val="22"/>
        </w:rPr>
        <w:t>A copy of a study manual for the commercial driver’s license tests is available upon request at any driver’s license service center and on the department’s website.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2530C</w:t>
      </w:r>
      <w:r>
        <w:rPr>
          <w:rFonts w:ascii="Times New Roman" w:hAnsi="Times New Roman"/>
          <w:b w:val="false"/>
          <w:i w:val="false"/>
          <w:color w:val="000000"/>
          <w:sz w:val="16"/>
        </w:rPr>
        <w:t>, IAB 5/11/16, effective 6/15/16</w:t>
      </w:r>
      <w:r>
        <w:rPr>
          <w:rFonts w:ascii="Times New Roman" w:hAnsi="Times New Roman"/>
          <w:b w:val="false"/>
          <w:i w:val="false"/>
          <w:color w:val="000000"/>
          <w:sz w:val="16"/>
        </w:rPr>
        <w:t xml:space="preserve">; </w:t>
      </w:r>
      <w:r>
        <w:rPr>
          <w:rFonts w:ascii="Times New Roman" w:hAnsi="Times New Roman"/>
          <w:b/>
          <w:i w:val="false"/>
          <w:color w:val="000000"/>
          <w:sz w:val="16"/>
        </w:rPr>
        <w:t>ARC 3689C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i w:val="false"/>
          <w:color w:val="000000"/>
          <w:sz w:val="16"/>
        </w:rPr>
        <w:t>ARC 4986C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6168C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761—607.3</w:t>
      </w:r>
      <w:r>
        <w:rPr>
          <w:rFonts w:ascii="Times New Roman" w:hAnsi="Times New Roman"/>
          <w:b/>
          <w:i w:val="false"/>
          <w:color w:val="000000"/>
          <w:sz w:val="22"/>
        </w:rPr>
        <w:t xml:space="preserve">(321)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8">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apply to this chapter of rules. In addition, the following definitions are adopted: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“Air brake system” </w:t>
      </w:r>
      <w:r>
        <w:rPr>
          <w:rFonts w:ascii="Times New Roman" w:hAnsi="Times New Roman"/>
          <w:b w:val="false"/>
          <w:i w:val="false"/>
          <w:color w:val="000000"/>
          <w:sz w:val="22"/>
        </w:rPr>
        <w:t>means a system that uses air as a medium for transmitting pressure or force from the driver’s control to the service brake. “Air brake system” shall include any braking system operating fully or partially on the air brake principle.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“Air over hydraulic brakes” </w:t>
      </w:r>
      <w:r>
        <w:rPr>
          <w:rFonts w:ascii="Times New Roman" w:hAnsi="Times New Roman"/>
          <w:b w:val="false"/>
          <w:i w:val="false"/>
          <w:color w:val="000000"/>
          <w:sz w:val="22"/>
        </w:rPr>
        <w:t>means any braking system operating partially on the air brake and partially on the hydraulic brake principle.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“Automatic transmission” </w:t>
      </w:r>
      <w:r>
        <w:rPr>
          <w:rFonts w:ascii="Times New Roman" w:hAnsi="Times New Roman"/>
          <w:b w:val="false"/>
          <w:i w:val="false"/>
          <w:color w:val="000000"/>
          <w:sz w:val="22"/>
        </w:rPr>
        <w:t>means any transmission other than a manual transmission.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“CDLIS” </w:t>
      </w:r>
      <w:r>
        <w:rPr>
          <w:rFonts w:ascii="Times New Roman" w:hAnsi="Times New Roman"/>
          <w:b w:val="false"/>
          <w:i w:val="false"/>
          <w:color w:val="000000"/>
          <w:sz w:val="22"/>
        </w:rPr>
        <w:t xml:space="preserve">means “commercial driver’s license information system” as defined in Iowa Code section </w:t>
      </w:r>
      <w:hyperlink r:id="rId9">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“Commercial driver’s license downgrade”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“CDL downgrade” </w:t>
      </w:r>
      <w:r>
        <w:rPr>
          <w:rFonts w:ascii="Times New Roman" w:hAnsi="Times New Roman"/>
          <w:b w:val="false"/>
          <w:i w:val="false"/>
          <w:color w:val="000000"/>
          <w:sz w:val="22"/>
        </w:rPr>
        <w:t>means the same as defined in 49 CFR Section 383.5 (October 1,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“Commercial motor vehicle”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“CMV” </w:t>
      </w:r>
      <w:r>
        <w:rPr>
          <w:rFonts w:ascii="Times New Roman" w:hAnsi="Times New Roman"/>
          <w:b w:val="false"/>
          <w:i w:val="false"/>
          <w:color w:val="000000"/>
          <w:sz w:val="22"/>
        </w:rPr>
        <w:t xml:space="preserve">as defined in Iowa Code section </w:t>
      </w:r>
      <w:hyperlink r:id="rId10">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does not include a motor vehicle designed as off-road equipment rather than as a motor truck, such as a forklift, motor grader, scraper, tractor, trencher or similar industrial-type equipment. “Commercial motor vehicle” also does not include self-propelled implements of husbandry described in Iowa Code subsection </w:t>
      </w:r>
      <w:hyperlink r:id="rId11">
        <w:r>
          <w:rPr>
            <w:rStyle w:val="Hyperlink"/>
            <w:rFonts w:ascii="Times New Roman" w:hAnsi="Times New Roman"/>
            <w:b w:val="false"/>
            <w:i w:val="false"/>
            <w:color w:val="000000"/>
            <w:sz w:val="22"/>
          </w:rPr>
          <w:t>321.1(32)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“Controlled substance” </w:t>
      </w:r>
      <w:r>
        <w:rPr>
          <w:rFonts w:ascii="Times New Roman" w:hAnsi="Times New Roman"/>
          <w:b w:val="false"/>
          <w:i w:val="false"/>
          <w:color w:val="000000"/>
          <w:sz w:val="22"/>
        </w:rPr>
        <w:t xml:space="preserve">as used in Iowa Code section </w:t>
      </w:r>
      <w:hyperlink r:id="rId12">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 xml:space="preserve"> means a substance defined in Iowa Code section </w:t>
      </w:r>
      <w:hyperlink r:id="rId13">
        <w:r>
          <w:rPr>
            <w:rStyle w:val="Hyperlink"/>
            <w:rFonts w:ascii="Times New Roman" w:hAnsi="Times New Roman"/>
            <w:b w:val="false"/>
            <w:i w:val="false"/>
            <w:color w:val="000000"/>
            <w:sz w:val="22"/>
          </w:rPr>
          <w:t>124.101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“Hazardous materials” </w:t>
      </w:r>
      <w:r>
        <w:rPr>
          <w:rFonts w:ascii="Times New Roman" w:hAnsi="Times New Roman"/>
          <w:b w:val="false"/>
          <w:i w:val="false"/>
          <w:color w:val="000000"/>
          <w:sz w:val="22"/>
        </w:rPr>
        <w:t xml:space="preserve">means any material that has been designated as hazardous under </w:t>
      </w:r>
      <w:r>
        <w:rPr>
          <w:rFonts w:ascii="Times New Roman" w:hAnsi="Times New Roman"/>
          <w:b w:val="false"/>
          <w:i w:val="false"/>
          <w:color w:val="000000"/>
          <w:sz w:val="22"/>
        </w:rPr>
        <w:t>49 U.S.C. Section 5103</w:t>
      </w:r>
      <w:r>
        <w:rPr>
          <w:rFonts w:ascii="Times New Roman" w:hAnsi="Times New Roman"/>
          <w:b w:val="false"/>
          <w:i w:val="false"/>
          <w:color w:val="000000"/>
          <w:sz w:val="22"/>
        </w:rPr>
        <w:t xml:space="preserve"> and is required to be placarded under 49 CFR Part 172, Subpart F, or any quantity of a material listed as a select agent or toxin in 42 CFR Part 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“Manual transmission” </w:t>
      </w:r>
      <w:r>
        <w:rPr>
          <w:rFonts w:ascii="Times New Roman" w:hAnsi="Times New Roman"/>
          <w:b w:val="false"/>
          <w:i w:val="false"/>
          <w:color w:val="000000"/>
          <w:sz w:val="22"/>
        </w:rPr>
        <w:t>means a transmission utilizing a driver-operated clutch that is activated by a pedal or lever and a gear-shift mechanism operated either by hand or by foot. All other transmissions, whether semi-automatic or automatic, will be considered automatic.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examiner” </w:t>
      </w:r>
      <w:r>
        <w:rPr>
          <w:rFonts w:ascii="Times New Roman" w:hAnsi="Times New Roman"/>
          <w:b w:val="false"/>
          <w:i w:val="false"/>
          <w:color w:val="000000"/>
          <w:sz w:val="22"/>
        </w:rPr>
        <w:t>means a person who is licensed, certified or registered, in accordance with applicable state laws and regulations, to perform physical examinations. The term includes but is not limited to doctors of medicine, doctors of osteopathy, physician assistants, advanced registered nurse practitioners, and doctors of chiropractic.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examiner’s certificate” </w:t>
      </w:r>
      <w:r>
        <w:rPr>
          <w:rFonts w:ascii="Times New Roman" w:hAnsi="Times New Roman"/>
          <w:b w:val="false"/>
          <w:i w:val="false"/>
          <w:color w:val="000000"/>
          <w:sz w:val="22"/>
        </w:rPr>
        <w:t>means a certificate completed and signed by a medical examiner under the provisions of 49 CFR Section 391.43.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variance” </w:t>
      </w:r>
      <w:r>
        <w:rPr>
          <w:rFonts w:ascii="Times New Roman" w:hAnsi="Times New Roman"/>
          <w:b w:val="false"/>
          <w:i w:val="false"/>
          <w:color w:val="000000"/>
          <w:sz w:val="22"/>
        </w:rPr>
        <w:t>means a driver has received one of the following from the Federal Motor Carrier Safety Administration that allows the driver to be issued a medical certificate: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exemption letter permitting operation of a commercial motor vehicle pursuant to 49 CFR Part 381, Subpart C, or 49 CFR Section 391.62, or 49 CFR Section 391.64.</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skill performance evaluation certificate permitting operation of a commercial motor vehicle pursuant to 49 CFR Section 391.49.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drug and alcohol clearinghouse” </w:t>
      </w:r>
      <w:r>
        <w:rPr>
          <w:rFonts w:ascii="Times New Roman" w:hAnsi="Times New Roman"/>
          <w:b w:val="false"/>
          <w:i w:val="false"/>
          <w:color w:val="000000"/>
          <w:sz w:val="22"/>
        </w:rPr>
        <w:t>means the database maintained by the Federal Motor Carrier Safety Administration as defined in 49 CFR Section 382.107 (October 1,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“Passenger vehicle” </w:t>
      </w:r>
      <w:r>
        <w:rPr>
          <w:rFonts w:ascii="Times New Roman" w:hAnsi="Times New Roman"/>
          <w:b w:val="false"/>
          <w:i w:val="false"/>
          <w:color w:val="000000"/>
          <w:sz w:val="22"/>
        </w:rPr>
        <w:t>means either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motor vehicle designed to transport 16 or more persons including the operator.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motor vehicle of a size and design to transport 16 or more persons including the operator which is redesigned or modified to transport fewer than 16 persons with disabilities. The size of a redesigned or modified vehicle shall be any such vehicle with a gross vehicle weight rating of 10,001 or more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bus” </w:t>
      </w:r>
      <w:r>
        <w:rPr>
          <w:rFonts w:ascii="Times New Roman" w:hAnsi="Times New Roman"/>
          <w:b w:val="false"/>
          <w:i w:val="false"/>
          <w:color w:val="000000"/>
          <w:sz w:val="22"/>
        </w:rPr>
        <w:t xml:space="preserve">means a commercial motor vehicle used to transport pre-primary, primary, or secondary school students from home to school, from school to home, or to and from school-sponsored events unless otherwise provided in Iowa Code section </w:t>
      </w:r>
      <w:hyperlink r:id="rId14">
        <w:r>
          <w:rPr>
            <w:rStyle w:val="Hyperlink"/>
            <w:rFonts w:ascii="Times New Roman" w:hAnsi="Times New Roman"/>
            <w:b w:val="false"/>
            <w:i w:val="false"/>
            <w:color w:val="000000"/>
            <w:sz w:val="22"/>
          </w:rPr>
          <w:t>321.1(69)</w:t>
        </w:r>
      </w:hyperlink>
      <w:r>
        <w:rPr>
          <w:rFonts w:ascii="Times New Roman" w:hAnsi="Times New Roman"/>
          <w:b w:val="false"/>
          <w:i w:val="false"/>
          <w:color w:val="000000"/>
          <w:sz w:val="22"/>
        </w:rPr>
        <w:t>. “School bus” does not include a bus used as a common carrier.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“Self-certification” </w:t>
      </w:r>
      <w:r>
        <w:rPr>
          <w:rFonts w:ascii="Times New Roman" w:hAnsi="Times New Roman"/>
          <w:b w:val="false"/>
          <w:i w:val="false"/>
          <w:color w:val="000000"/>
          <w:sz w:val="22"/>
        </w:rPr>
        <w:t>means a written certification of which category of type of driving an applicant for a commercial driver’s license engages in or intends to engage in, from the following categories: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Non-excepted interstate. The person certifies that the person operates or expects to operate in interstate commerce, is both subject to and meets the qualification requirements under 49 CFR Part 391, and is required to obtain a medical examiner’s certificate by 49 CFR Section 391.45.</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Excepted interstate. The person certifies that the person operates or expects to operate in interstate commerce, but engages exclusively in transportation or operations excepted under 49 CFR Section 390.3(f), 391.2, 391.68 or 398.3 from all or parts of the qualification requirements of 49 CFR Part 391, and is therefore not required to obtain a medical examiner’s certificate by 49 CFR Section 391.45.</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Non-excepted intrastate. The person certifies that the person operates only in intrastate commerce and is subject to state driver qualification requirements.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Excepted intrastate. The person certifies that the person operates only in intrastate commerce, but engages exclusively in transportation or operations excepted from all or parts of the state driver qualification requirements as set forth in Iowa Code section </w:t>
      </w:r>
      <w:hyperlink r:id="rId15">
        <w:r>
          <w:rPr>
            <w:rStyle w:val="Hyperlink"/>
            <w:rFonts w:ascii="Times New Roman" w:hAnsi="Times New Roman"/>
            <w:b w:val="false"/>
            <w:i w:val="false"/>
            <w:color w:val="000000"/>
            <w:sz w:val="22"/>
          </w:rPr>
          <w:t>321.449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w:t>
      </w:r>
      <w:r>
        <w:rPr>
          <w:rFonts w:ascii="Times New Roman" w:hAnsi="Times New Roman"/>
          <w:b w:val="false"/>
          <w:i w:val="false"/>
          <w:color w:val="000000"/>
          <w:sz w:val="22"/>
        </w:rPr>
        <w:t xml:space="preserve">as used in this chapter and in “another state” in Iowa Code subsection </w:t>
      </w:r>
      <w:hyperlink r:id="rId16">
        <w:r>
          <w:rPr>
            <w:rStyle w:val="Hyperlink"/>
            <w:rFonts w:ascii="Times New Roman" w:hAnsi="Times New Roman"/>
            <w:b w:val="false"/>
            <w:i w:val="false"/>
            <w:color w:val="000000"/>
            <w:sz w:val="22"/>
          </w:rPr>
          <w:t>321.174(2)</w:t>
        </w:r>
      </w:hyperlink>
      <w:r>
        <w:rPr>
          <w:rFonts w:ascii="Times New Roman" w:hAnsi="Times New Roman"/>
          <w:b w:val="false"/>
          <w:i w:val="false"/>
          <w:color w:val="000000"/>
          <w:sz w:val="22"/>
        </w:rPr>
        <w:t xml:space="preserve">, “former state of residence” in Iowa Code subsection </w:t>
      </w:r>
      <w:hyperlink r:id="rId17">
        <w:r>
          <w:rPr>
            <w:rStyle w:val="Hyperlink"/>
            <w:rFonts w:ascii="Times New Roman" w:hAnsi="Times New Roman"/>
            <w:b w:val="false"/>
            <w:i w:val="false"/>
            <w:color w:val="000000"/>
            <w:sz w:val="22"/>
          </w:rPr>
          <w:t>321.188(5)</w:t>
        </w:r>
      </w:hyperlink>
      <w:r>
        <w:rPr>
          <w:rFonts w:ascii="Times New Roman" w:hAnsi="Times New Roman"/>
          <w:b w:val="false"/>
          <w:i w:val="false"/>
          <w:color w:val="000000"/>
          <w:sz w:val="22"/>
        </w:rPr>
        <w:t xml:space="preserve">, or “any state” in Iowa Code subsection </w:t>
      </w:r>
      <w:hyperlink r:id="rId18">
        <w:r>
          <w:rPr>
            <w:rStyle w:val="Hyperlink"/>
            <w:rFonts w:ascii="Times New Roman" w:hAnsi="Times New Roman"/>
            <w:b w:val="false"/>
            <w:i w:val="false"/>
            <w:color w:val="000000"/>
            <w:sz w:val="22"/>
          </w:rPr>
          <w:t>321.208(1)</w:t>
        </w:r>
      </w:hyperlink>
      <w:r>
        <w:rPr>
          <w:rFonts w:ascii="Times New Roman" w:hAnsi="Times New Roman"/>
          <w:b w:val="false"/>
          <w:i w:val="false"/>
          <w:color w:val="000000"/>
          <w:sz w:val="22"/>
        </w:rPr>
        <w:t>, means one of the United States or the District of Columbia unless the context means the state of Iowa.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321.174</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321.191</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321.193</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321.207</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7902B</w:t>
      </w:r>
      <w:r>
        <w:rPr>
          <w:rFonts w:ascii="Times New Roman" w:hAnsi="Times New Roman"/>
          <w:b w:val="false"/>
          <w:i w:val="false"/>
          <w:color w:val="000000"/>
          <w:sz w:val="16"/>
        </w:rPr>
        <w:t>, IAB 7/1/09, effective 8/5/09</w:t>
      </w:r>
      <w:r>
        <w:rPr>
          <w:rFonts w:ascii="Times New Roman" w:hAnsi="Times New Roman"/>
          <w:b w:val="false"/>
          <w:i w:val="false"/>
          <w:color w:val="000000"/>
          <w:sz w:val="16"/>
        </w:rPr>
        <w:t xml:space="preserve">; </w:t>
      </w:r>
      <w:r>
        <w:rPr>
          <w:rFonts w:ascii="Times New Roman" w:hAnsi="Times New Roman"/>
          <w:b/>
          <w:i w:val="false"/>
          <w:color w:val="000000"/>
          <w:sz w:val="16"/>
        </w:rPr>
        <w:t>ARC 9954B</w:t>
      </w:r>
      <w:r>
        <w:rPr>
          <w:rFonts w:ascii="Times New Roman" w:hAnsi="Times New Roman"/>
          <w:b w:val="false"/>
          <w:i w:val="false"/>
          <w:color w:val="000000"/>
          <w:sz w:val="16"/>
        </w:rPr>
        <w:t>, IAB 1/11/12, effective 1/30/12</w:t>
      </w:r>
      <w:r>
        <w:rPr>
          <w:rFonts w:ascii="Times New Roman" w:hAnsi="Times New Roman"/>
          <w:b w:val="false"/>
          <w:i w:val="false"/>
          <w:color w:val="000000"/>
          <w:sz w:val="16"/>
        </w:rPr>
        <w:t xml:space="preserve">; </w:t>
      </w:r>
      <w:r>
        <w:rPr>
          <w:rFonts w:ascii="Times New Roman" w:hAnsi="Times New Roman"/>
          <w:b/>
          <w:i w:val="false"/>
          <w:color w:val="000000"/>
          <w:sz w:val="16"/>
        </w:rPr>
        <w:t>ARC 0031C</w:t>
      </w:r>
      <w:r>
        <w:rPr>
          <w:rFonts w:ascii="Times New Roman" w:hAnsi="Times New Roman"/>
          <w:b w:val="false"/>
          <w:i w:val="false"/>
          <w:color w:val="000000"/>
          <w:sz w:val="16"/>
        </w:rPr>
        <w:t>, IAB 3/7/12, effective 4/11/12</w:t>
      </w:r>
      <w:r>
        <w:rPr>
          <w:rFonts w:ascii="Times New Roman" w:hAnsi="Times New Roman"/>
          <w:b w:val="false"/>
          <w:i w:val="false"/>
          <w:color w:val="000000"/>
          <w:sz w:val="16"/>
        </w:rPr>
        <w:t xml:space="preserve">; </w:t>
      </w:r>
      <w:r>
        <w:rPr>
          <w:rFonts w:ascii="Times New Roman" w:hAnsi="Times New Roman"/>
          <w:b/>
          <w:i w:val="false"/>
          <w:color w:val="000000"/>
          <w:sz w:val="16"/>
        </w:rPr>
        <w:t>ARC 2071C</w:t>
      </w:r>
      <w:r>
        <w:rPr>
          <w:rFonts w:ascii="Times New Roman" w:hAnsi="Times New Roman"/>
          <w:b w:val="false"/>
          <w:i w:val="false"/>
          <w:color w:val="000000"/>
          <w:sz w:val="16"/>
        </w:rPr>
        <w:t>, IAB 8/5/15, effective 7/14/15</w:t>
      </w:r>
      <w:r>
        <w:rPr>
          <w:rFonts w:ascii="Times New Roman" w:hAnsi="Times New Roman"/>
          <w:b w:val="false"/>
          <w:i w:val="false"/>
          <w:color w:val="000000"/>
          <w:sz w:val="16"/>
        </w:rPr>
        <w:t xml:space="preserve">; </w:t>
      </w:r>
      <w:r>
        <w:rPr>
          <w:rFonts w:ascii="Times New Roman" w:hAnsi="Times New Roman"/>
          <w:b/>
          <w:i w:val="false"/>
          <w:color w:val="000000"/>
          <w:sz w:val="16"/>
        </w:rPr>
        <w:t>ARC 2337C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 xml:space="preserve">; </w:t>
      </w:r>
      <w:r>
        <w:rPr>
          <w:rFonts w:ascii="Times New Roman" w:hAnsi="Times New Roman"/>
          <w:b/>
          <w:i w:val="false"/>
          <w:color w:val="000000"/>
          <w:sz w:val="16"/>
        </w:rPr>
        <w:t>ARC 2530C</w:t>
      </w:r>
      <w:r>
        <w:rPr>
          <w:rFonts w:ascii="Times New Roman" w:hAnsi="Times New Roman"/>
          <w:b w:val="false"/>
          <w:i w:val="false"/>
          <w:color w:val="000000"/>
          <w:sz w:val="16"/>
        </w:rPr>
        <w:t>, IAB 5/11/16, effective 6/15/16</w:t>
      </w:r>
      <w:r>
        <w:rPr>
          <w:rFonts w:ascii="Times New Roman" w:hAnsi="Times New Roman"/>
          <w:b w:val="false"/>
          <w:i w:val="false"/>
          <w:color w:val="000000"/>
          <w:sz w:val="16"/>
        </w:rPr>
        <w:t xml:space="preserve">; </w:t>
      </w:r>
      <w:r>
        <w:rPr>
          <w:rFonts w:ascii="Times New Roman" w:hAnsi="Times New Roman"/>
          <w:b/>
          <w:i w:val="false"/>
          <w:color w:val="000000"/>
          <w:sz w:val="16"/>
        </w:rPr>
        <w:t>ARC 4986C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7747C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761—607.4</w:t>
      </w:r>
      <w:r>
        <w:rPr>
          <w:rFonts w:ascii="Times New Roman" w:hAnsi="Times New Roman"/>
          <w:b w:val="false"/>
          <w:i w:val="false"/>
          <w:color w:val="000000"/>
          <w:sz w:val="22"/>
        </w:rPr>
        <w:t xml:space="preserve"> and </w:t>
      </w:r>
      <w:r>
        <w:rPr>
          <w:rFonts w:ascii="Times New Roman" w:hAnsi="Times New Roman"/>
          <w:b/>
          <w:i w:val="false"/>
          <w:color w:val="000000"/>
          <w:sz w:val="22"/>
        </w:rPr>
        <w:t>607.5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761—607.6</w:t>
      </w:r>
      <w:r>
        <w:rPr>
          <w:rFonts w:ascii="Times New Roman" w:hAnsi="Times New Roman"/>
          <w:b/>
          <w:i w:val="false"/>
          <w:color w:val="000000"/>
          <w:sz w:val="22"/>
        </w:rPr>
        <w:t xml:space="preserve">(321) </w:t>
      </w:r>
      <w:r>
        <w:rPr>
          <w:rFonts w:ascii="Times New Roman" w:hAnsi="Times New Roman"/>
          <w:b/>
          <w:i w:val="false"/>
          <w:color w:val="000000"/>
          <w:sz w:val="22"/>
        </w:rPr>
        <w:t xml:space="preserve">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607.6(1)</w:t>
      </w:r>
      <w:r>
        <w:rPr>
          <w:rFonts w:ascii="Times New Roman" w:hAnsi="Times New Roman"/>
          <w:b w:val="false"/>
          <w:i w:val="false"/>
          <w:color w:val="000000"/>
          <w:sz w:val="22"/>
        </w:rPr>
        <w:t> </w:t>
      </w:r>
      <w:r>
        <w:rPr>
          <w:rFonts w:ascii="Times New Roman" w:hAnsi="Times New Roman"/>
          <w:b w:val="false"/>
          <w:i/>
          <w:color w:val="000000"/>
          <w:sz w:val="22"/>
        </w:rPr>
        <w:t xml:space="preserve">Persons exempt. </w:t>
      </w:r>
      <w:r>
        <w:rPr>
          <w:rFonts w:ascii="Times New Roman" w:hAnsi="Times New Roman"/>
          <w:b w:val="false"/>
          <w:i w:val="false"/>
          <w:color w:val="000000"/>
          <w:sz w:val="22"/>
        </w:rPr>
        <w:t xml:space="preserve">A person listed in Iowa Code section </w:t>
      </w:r>
      <w:hyperlink r:id="rId26">
        <w:r>
          <w:rPr>
            <w:rStyle w:val="Hyperlink"/>
            <w:rFonts w:ascii="Times New Roman" w:hAnsi="Times New Roman"/>
            <w:b w:val="false"/>
            <w:i w:val="false"/>
            <w:color w:val="000000"/>
            <w:sz w:val="22"/>
          </w:rPr>
          <w:t>321.176A</w:t>
        </w:r>
      </w:hyperlink>
      <w:r>
        <w:rPr>
          <w:rFonts w:ascii="Times New Roman" w:hAnsi="Times New Roman"/>
          <w:b w:val="false"/>
          <w:i w:val="false"/>
          <w:color w:val="000000"/>
          <w:sz w:val="22"/>
        </w:rPr>
        <w:t xml:space="preserve"> is exempt from commercial driver licensing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607.6(2)</w:t>
      </w:r>
      <w:r>
        <w:rPr>
          <w:rFonts w:ascii="Times New Roman" w:hAnsi="Times New Roman"/>
          <w:b w:val="false"/>
          <w:i w:val="false"/>
          <w:color w:val="000000"/>
          <w:sz w:val="22"/>
        </w:rPr>
        <w:t> </w:t>
      </w:r>
      <w:r>
        <w:rPr>
          <w:rFonts w:ascii="Times New Roman" w:hAnsi="Times New Roman"/>
          <w:b w:val="false"/>
          <w:i/>
          <w:color w:val="000000"/>
          <w:sz w:val="22"/>
        </w:rPr>
        <w:t xml:space="preserve">Exempt until April 1, 1992.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6/23/93</w:t>
      </w:r>
      <w:r>
        <w:rPr>
          <w:rFonts w:ascii="Times New Roman" w:hAnsi="Times New Roman"/>
          <w:b w:val="false"/>
          <w:i w:val="false"/>
          <w:color w:val="000000"/>
          <w:sz w:val="22"/>
        </w:rPr>
        <w:t>, effective 7/28/93.</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7">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321.176A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761—607.7</w:t>
      </w:r>
      <w:r>
        <w:rPr>
          <w:rFonts w:ascii="Times New Roman" w:hAnsi="Times New Roman"/>
          <w:b/>
          <w:i w:val="false"/>
          <w:color w:val="000000"/>
          <w:sz w:val="22"/>
        </w:rPr>
        <w:t xml:space="preserve">(321) </w:t>
      </w:r>
      <w:r>
        <w:rPr>
          <w:rFonts w:ascii="Times New Roman" w:hAnsi="Times New Roman"/>
          <w:b/>
          <w:i w:val="false"/>
          <w:color w:val="000000"/>
          <w:sz w:val="22"/>
        </w:rPr>
        <w:t xml:space="preserve">Records. </w:t>
      </w:r>
      <w:r>
        <w:rPr>
          <w:rFonts w:ascii="Times New Roman" w:hAnsi="Times New Roman"/>
          <w:b w:val="false"/>
          <w:i w:val="false"/>
          <w:color w:val="000000"/>
          <w:sz w:val="22"/>
        </w:rPr>
        <w:t xml:space="preserve">The operating record of a person who has been issued a commercial driver’s license or a commercial learner’s permit or a person who has been disqualified from operating a commercial motor vehicle shall be maintained as provided in the department’s “Record Management Manual” adopted in </w:t>
      </w:r>
      <w:hyperlink r:id="rId29">
        <w:r>
          <w:rPr>
            <w:rStyle w:val="Hyperlink"/>
            <w:rFonts w:ascii="Times New Roman" w:hAnsi="Times New Roman"/>
            <w:b w:val="false"/>
            <w:i w:val="false"/>
            <w:color w:val="000000"/>
            <w:sz w:val="22"/>
          </w:rPr>
          <w:t>761—Chapter 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0">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321.12</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321.199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2071C</w:t>
      </w:r>
      <w:r>
        <w:rPr>
          <w:rFonts w:ascii="Times New Roman" w:hAnsi="Times New Roman"/>
          <w:b w:val="false"/>
          <w:i w:val="false"/>
          <w:color w:val="000000"/>
          <w:sz w:val="16"/>
        </w:rPr>
        <w:t>, IAB 8/5/15, effective 7/14/15</w:t>
      </w:r>
      <w:r>
        <w:rPr>
          <w:rFonts w:ascii="Times New Roman" w:hAnsi="Times New Roman"/>
          <w:b w:val="false"/>
          <w:i w:val="false"/>
          <w:color w:val="000000"/>
          <w:sz w:val="16"/>
        </w:rPr>
        <w:t xml:space="preserve">; </w:t>
      </w:r>
      <w:r>
        <w:rPr>
          <w:rFonts w:ascii="Times New Roman" w:hAnsi="Times New Roman"/>
          <w:b/>
          <w:i w:val="false"/>
          <w:color w:val="000000"/>
          <w:sz w:val="16"/>
        </w:rPr>
        <w:t>ARC 2337C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 xml:space="preserve">; </w:t>
      </w:r>
      <w:r>
        <w:rPr>
          <w:rFonts w:ascii="Times New Roman" w:hAnsi="Times New Roman"/>
          <w:b/>
          <w:i w:val="false"/>
          <w:color w:val="000000"/>
          <w:sz w:val="16"/>
        </w:rPr>
        <w:t>ARC 2530C</w:t>
      </w:r>
      <w:r>
        <w:rPr>
          <w:rFonts w:ascii="Times New Roman" w:hAnsi="Times New Roman"/>
          <w:b w:val="false"/>
          <w:i w:val="false"/>
          <w:color w:val="000000"/>
          <w:sz w:val="16"/>
        </w:rPr>
        <w:t>, IAB 5/11/16, effective 6/15/16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761—607.8</w:t>
      </w:r>
      <w:r>
        <w:rPr>
          <w:rFonts w:ascii="Times New Roman" w:hAnsi="Times New Roman"/>
          <w:b w:val="false"/>
          <w:i w:val="false"/>
          <w:color w:val="000000"/>
          <w:sz w:val="22"/>
        </w:rPr>
        <w:t xml:space="preserve"> and </w:t>
      </w:r>
      <w:r>
        <w:rPr>
          <w:rFonts w:ascii="Times New Roman" w:hAnsi="Times New Roman"/>
          <w:b/>
          <w:i w:val="false"/>
          <w:color w:val="000000"/>
          <w:sz w:val="22"/>
        </w:rPr>
        <w:t>607.9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761—607.10</w:t>
      </w:r>
      <w:r>
        <w:rPr>
          <w:rFonts w:ascii="Times New Roman" w:hAnsi="Times New Roman"/>
          <w:b/>
          <w:i w:val="false"/>
          <w:color w:val="000000"/>
          <w:sz w:val="22"/>
        </w:rPr>
        <w:t xml:space="preserve">(321) </w:t>
      </w:r>
      <w:r>
        <w:rPr>
          <w:rFonts w:ascii="Times New Roman" w:hAnsi="Times New Roman"/>
          <w:b/>
          <w:i w:val="false"/>
          <w:color w:val="000000"/>
          <w:sz w:val="22"/>
        </w:rPr>
        <w:t xml:space="preserve">Adoption of federal 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607.10(1)</w:t>
      </w:r>
      <w:r>
        <w:rPr>
          <w:rFonts w:ascii="Times New Roman" w:hAnsi="Times New Roman"/>
          <w:b w:val="false"/>
          <w:i w:val="false"/>
          <w:color w:val="000000"/>
          <w:sz w:val="22"/>
        </w:rPr>
        <w:t> </w:t>
      </w:r>
      <w:r>
        <w:rPr>
          <w:rFonts w:ascii="Times New Roman" w:hAnsi="Times New Roman"/>
          <w:b w:val="false"/>
          <w:i/>
          <w:color w:val="000000"/>
          <w:sz w:val="22"/>
        </w:rPr>
        <w:t xml:space="preserve">Code of Federal Regulations. </w:t>
      </w:r>
      <w:r>
        <w:rPr>
          <w:rFonts w:ascii="Times New Roman" w:hAnsi="Times New Roman"/>
          <w:b w:val="false"/>
          <w:i w:val="false"/>
          <w:color w:val="000000"/>
          <w:sz w:val="22"/>
        </w:rPr>
        <w:t>The department’s administration of commercial driver’s licenses shall be in compliance with the state procedures set forth in 49 CFR Section 383.73, and this chapter shall be construed to that effect. The department adopts the following portions of the Code of Federal Regulations, which are referenced throughout this chapter of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49 CFR Section 391.11 as adopted in </w:t>
      </w:r>
      <w:hyperlink r:id="rId33">
        <w:r>
          <w:rPr>
            <w:rStyle w:val="Hyperlink"/>
            <w:rFonts w:ascii="Times New Roman" w:hAnsi="Times New Roman"/>
            <w:b w:val="false"/>
            <w:i w:val="false"/>
            <w:color w:val="000000"/>
            <w:sz w:val="22"/>
          </w:rPr>
          <w:t>661—Chapter 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49 CFR Section 392.5 as adopted in </w:t>
      </w:r>
      <w:hyperlink r:id="rId34">
        <w:r>
          <w:rPr>
            <w:rStyle w:val="Hyperlink"/>
            <w:rFonts w:ascii="Times New Roman" w:hAnsi="Times New Roman"/>
            <w:b w:val="false"/>
            <w:i w:val="false"/>
            <w:color w:val="000000"/>
            <w:sz w:val="22"/>
          </w:rPr>
          <w:t>661—Chapter 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49 CFR Part 380, Subpart F (October 1,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following portions of 49 CFR Part 383 (October 1,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Section 383.51, Disqualification of drivers.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Subpart E—Testing and Licensing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Subpart F—Vehicle Groups and Endorsements.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Subpart G—Required Knowledge and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Subpart H—Tests.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607.10(2)</w:t>
      </w:r>
      <w:r>
        <w:rPr>
          <w:rFonts w:ascii="Times New Roman" w:hAnsi="Times New Roman"/>
          <w:b w:val="false"/>
          <w:i w:val="false"/>
          <w:color w:val="000000"/>
          <w:sz w:val="22"/>
        </w:rPr>
        <w:t> </w:t>
      </w:r>
      <w:r>
        <w:rPr>
          <w:rFonts w:ascii="Times New Roman" w:hAnsi="Times New Roman"/>
          <w:b w:val="false"/>
          <w:i/>
          <w:color w:val="000000"/>
          <w:sz w:val="22"/>
        </w:rPr>
        <w:t xml:space="preserve">Copies of regulations. </w:t>
      </w:r>
      <w:r>
        <w:rPr>
          <w:rFonts w:ascii="Times New Roman" w:hAnsi="Times New Roman"/>
          <w:b w:val="false"/>
          <w:i w:val="false"/>
          <w:color w:val="000000"/>
          <w:sz w:val="22"/>
        </w:rPr>
        <w:t xml:space="preserve">Copies of the federal regulations may be reviewed at the state law library or through the Internet at </w:t>
      </w:r>
      <w:hyperlink r:id="rId35">
        <w:r>
          <w:rPr>
            <w:rStyle w:val="Hyperlink"/>
            <w:rFonts w:ascii="Times New Roman" w:hAnsi="Times New Roman"/>
            <w:b w:val="false"/>
            <w:i w:val="false"/>
            <w:color w:val="000000"/>
            <w:sz w:val="22"/>
            <w:u w:val="single"/>
          </w:rPr>
          <w:t>www.fmcsa.dot.gov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6">
        <w:r>
          <w:rPr>
            <w:rStyle w:val="Hyperlink"/>
            <w:rFonts w:ascii="Times New Roman" w:hAnsi="Times New Roman"/>
            <w:b w:val="false"/>
            <w:i w:val="false"/>
            <w:color w:val="000000"/>
            <w:sz w:val="22"/>
          </w:rPr>
          <w:t>321.187</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321.207</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321.208A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7902B</w:t>
      </w:r>
      <w:r>
        <w:rPr>
          <w:rFonts w:ascii="Times New Roman" w:hAnsi="Times New Roman"/>
          <w:b w:val="false"/>
          <w:i w:val="false"/>
          <w:color w:val="000000"/>
          <w:sz w:val="16"/>
        </w:rPr>
        <w:t>, IAB 7/1/09, effective 8/5/09</w:t>
      </w:r>
      <w:r>
        <w:rPr>
          <w:rFonts w:ascii="Times New Roman" w:hAnsi="Times New Roman"/>
          <w:b w:val="false"/>
          <w:i w:val="false"/>
          <w:color w:val="000000"/>
          <w:sz w:val="16"/>
        </w:rPr>
        <w:t xml:space="preserve">; </w:t>
      </w:r>
      <w:r>
        <w:rPr>
          <w:rFonts w:ascii="Times New Roman" w:hAnsi="Times New Roman"/>
          <w:b/>
          <w:i w:val="false"/>
          <w:color w:val="000000"/>
          <w:sz w:val="16"/>
        </w:rPr>
        <w:t>ARC 9954B</w:t>
      </w:r>
      <w:r>
        <w:rPr>
          <w:rFonts w:ascii="Times New Roman" w:hAnsi="Times New Roman"/>
          <w:b w:val="false"/>
          <w:i w:val="false"/>
          <w:color w:val="000000"/>
          <w:sz w:val="16"/>
        </w:rPr>
        <w:t>, IAB 1/11/12, effective 1/30/12</w:t>
      </w:r>
      <w:r>
        <w:rPr>
          <w:rFonts w:ascii="Times New Roman" w:hAnsi="Times New Roman"/>
          <w:b w:val="false"/>
          <w:i w:val="false"/>
          <w:color w:val="000000"/>
          <w:sz w:val="16"/>
        </w:rPr>
        <w:t xml:space="preserve">; </w:t>
      </w:r>
      <w:r>
        <w:rPr>
          <w:rFonts w:ascii="Times New Roman" w:hAnsi="Times New Roman"/>
          <w:b/>
          <w:i w:val="false"/>
          <w:color w:val="000000"/>
          <w:sz w:val="16"/>
        </w:rPr>
        <w:t>ARC 0031C</w:t>
      </w:r>
      <w:r>
        <w:rPr>
          <w:rFonts w:ascii="Times New Roman" w:hAnsi="Times New Roman"/>
          <w:b w:val="false"/>
          <w:i w:val="false"/>
          <w:color w:val="000000"/>
          <w:sz w:val="16"/>
        </w:rPr>
        <w:t>, IAB 3/7/12, effective 4/11/12</w:t>
      </w:r>
      <w:r>
        <w:rPr>
          <w:rFonts w:ascii="Times New Roman" w:hAnsi="Times New Roman"/>
          <w:b w:val="false"/>
          <w:i w:val="false"/>
          <w:color w:val="000000"/>
          <w:sz w:val="16"/>
        </w:rPr>
        <w:t xml:space="preserve">; </w:t>
      </w:r>
      <w:r>
        <w:rPr>
          <w:rFonts w:ascii="Times New Roman" w:hAnsi="Times New Roman"/>
          <w:b/>
          <w:i w:val="false"/>
          <w:color w:val="000000"/>
          <w:sz w:val="16"/>
        </w:rPr>
        <w:t>ARC 2071C</w:t>
      </w:r>
      <w:r>
        <w:rPr>
          <w:rFonts w:ascii="Times New Roman" w:hAnsi="Times New Roman"/>
          <w:b w:val="false"/>
          <w:i w:val="false"/>
          <w:color w:val="000000"/>
          <w:sz w:val="16"/>
        </w:rPr>
        <w:t>, IAB 8/5/15, effective 7/14/15</w:t>
      </w:r>
      <w:r>
        <w:rPr>
          <w:rFonts w:ascii="Times New Roman" w:hAnsi="Times New Roman"/>
          <w:b w:val="false"/>
          <w:i w:val="false"/>
          <w:color w:val="000000"/>
          <w:sz w:val="16"/>
        </w:rPr>
        <w:t xml:space="preserve">; </w:t>
      </w:r>
      <w:r>
        <w:rPr>
          <w:rFonts w:ascii="Times New Roman" w:hAnsi="Times New Roman"/>
          <w:b/>
          <w:i w:val="false"/>
          <w:color w:val="000000"/>
          <w:sz w:val="16"/>
        </w:rPr>
        <w:t>ARC 2337C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 xml:space="preserve">; </w:t>
      </w:r>
      <w:r>
        <w:rPr>
          <w:rFonts w:ascii="Times New Roman" w:hAnsi="Times New Roman"/>
          <w:b/>
          <w:i w:val="false"/>
          <w:color w:val="000000"/>
          <w:sz w:val="16"/>
        </w:rPr>
        <w:t>ARC 2530C</w:t>
      </w:r>
      <w:r>
        <w:rPr>
          <w:rFonts w:ascii="Times New Roman" w:hAnsi="Times New Roman"/>
          <w:b w:val="false"/>
          <w:i w:val="false"/>
          <w:color w:val="000000"/>
          <w:sz w:val="16"/>
        </w:rPr>
        <w:t>, IAB 5/11/16, effective 6/15/16</w:t>
      </w:r>
      <w:r>
        <w:rPr>
          <w:rFonts w:ascii="Times New Roman" w:hAnsi="Times New Roman"/>
          <w:b w:val="false"/>
          <w:i w:val="false"/>
          <w:color w:val="000000"/>
          <w:sz w:val="16"/>
        </w:rPr>
        <w:t xml:space="preserve">; </w:t>
      </w:r>
      <w:r>
        <w:rPr>
          <w:rFonts w:ascii="Times New Roman" w:hAnsi="Times New Roman"/>
          <w:b/>
          <w:i w:val="false"/>
          <w:color w:val="000000"/>
          <w:sz w:val="16"/>
        </w:rPr>
        <w:t>ARC 2986C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3840C</w:t>
      </w:r>
      <w:r>
        <w:rPr>
          <w:rFonts w:ascii="Times New Roman" w:hAnsi="Times New Roman"/>
          <w:b w:val="false"/>
          <w:i w:val="false"/>
          <w:color w:val="000000"/>
          <w:sz w:val="16"/>
        </w:rPr>
        <w:t>, IAB 6/6/18, effective 7/11/18</w:t>
      </w:r>
      <w:r>
        <w:rPr>
          <w:rFonts w:ascii="Times New Roman" w:hAnsi="Times New Roman"/>
          <w:b w:val="false"/>
          <w:i w:val="false"/>
          <w:color w:val="000000"/>
          <w:sz w:val="16"/>
        </w:rPr>
        <w:t xml:space="preserve">; </w:t>
      </w:r>
      <w:r>
        <w:rPr>
          <w:rFonts w:ascii="Times New Roman" w:hAnsi="Times New Roman"/>
          <w:b/>
          <w:i w:val="false"/>
          <w:color w:val="000000"/>
          <w:sz w:val="16"/>
        </w:rPr>
        <w:t>ARC 4401C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 xml:space="preserve">; </w:t>
      </w:r>
      <w:r>
        <w:rPr>
          <w:rFonts w:ascii="Times New Roman" w:hAnsi="Times New Roman"/>
          <w:b/>
          <w:i w:val="false"/>
          <w:color w:val="000000"/>
          <w:sz w:val="16"/>
        </w:rPr>
        <w:t>ARC 4986C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5018C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5547C</w:t>
      </w:r>
      <w:r>
        <w:rPr>
          <w:rFonts w:ascii="Times New Roman" w:hAnsi="Times New Roman"/>
          <w:b w:val="false"/>
          <w:i w:val="false"/>
          <w:color w:val="000000"/>
          <w:sz w:val="16"/>
        </w:rPr>
        <w:t>, IAB 4/7/21, effective 5/12/21</w:t>
      </w:r>
      <w:r>
        <w:rPr>
          <w:rFonts w:ascii="Times New Roman" w:hAnsi="Times New Roman"/>
          <w:b w:val="false"/>
          <w:i w:val="false"/>
          <w:color w:val="000000"/>
          <w:sz w:val="16"/>
        </w:rPr>
        <w:t xml:space="preserve">; </w:t>
      </w:r>
      <w:r>
        <w:rPr>
          <w:rFonts w:ascii="Times New Roman" w:hAnsi="Times New Roman"/>
          <w:b/>
          <w:i w:val="false"/>
          <w:color w:val="000000"/>
          <w:sz w:val="16"/>
        </w:rPr>
        <w:t>ARC 6307C</w:t>
      </w:r>
      <w:r>
        <w:rPr>
          <w:rFonts w:ascii="Times New Roman" w:hAnsi="Times New Roman"/>
          <w:b w:val="false"/>
          <w:i w:val="false"/>
          <w:color w:val="000000"/>
          <w:sz w:val="16"/>
        </w:rPr>
        <w:t>, IAB 5/4/22, effective 6/8/22</w:t>
      </w:r>
      <w:r>
        <w:rPr>
          <w:rFonts w:ascii="Times New Roman" w:hAnsi="Times New Roman"/>
          <w:b w:val="false"/>
          <w:i w:val="false"/>
          <w:color w:val="000000"/>
          <w:sz w:val="16"/>
        </w:rPr>
        <w:t xml:space="preserve">; </w:t>
      </w:r>
      <w:r>
        <w:rPr>
          <w:rFonts w:ascii="Times New Roman" w:hAnsi="Times New Roman"/>
          <w:b/>
          <w:i w:val="false"/>
          <w:color w:val="000000"/>
          <w:sz w:val="16"/>
        </w:rPr>
        <w:t>ARC 6970C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7/26/23</w:t>
      </w:r>
      <w:r>
        <w:rPr>
          <w:rFonts w:ascii="Times New Roman" w:hAnsi="Times New Roman"/>
          <w:b w:val="false"/>
          <w:i w:val="false"/>
          <w:color w:val="000000"/>
          <w:sz w:val="16"/>
        </w:rPr>
        <w:t xml:space="preserve">; </w:t>
      </w:r>
      <w:r>
        <w:rPr>
          <w:rFonts w:ascii="Times New Roman" w:hAnsi="Times New Roman"/>
          <w:b/>
          <w:i w:val="false"/>
          <w:color w:val="000000"/>
          <w:sz w:val="16"/>
        </w:rPr>
        <w:t>ARC 7747C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i w:val="false"/>
          <w:color w:val="000000"/>
          <w:sz w:val="16"/>
        </w:rPr>
        <w:t>ARC 8055C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761—607.11</w:t>
      </w:r>
      <w:r>
        <w:rPr>
          <w:rFonts w:ascii="Times New Roman" w:hAnsi="Times New Roman"/>
          <w:b w:val="false"/>
          <w:i w:val="false"/>
          <w:color w:val="000000"/>
          <w:sz w:val="22"/>
        </w:rPr>
        <w:t xml:space="preserve"> to </w:t>
      </w:r>
      <w:r>
        <w:rPr>
          <w:rFonts w:ascii="Times New Roman" w:hAnsi="Times New Roman"/>
          <w:b/>
          <w:i w:val="false"/>
          <w:color w:val="000000"/>
          <w:sz w:val="22"/>
        </w:rPr>
        <w:t>607.14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761—607.15</w:t>
      </w:r>
      <w:r>
        <w:rPr>
          <w:rFonts w:ascii="Times New Roman" w:hAnsi="Times New Roman"/>
          <w:b/>
          <w:i w:val="false"/>
          <w:color w:val="000000"/>
          <w:sz w:val="22"/>
        </w:rPr>
        <w:t xml:space="preserve">(321) </w:t>
      </w:r>
      <w:r>
        <w:rPr>
          <w:rFonts w:ascii="Times New Roman" w:hAnsi="Times New Roman"/>
          <w:b/>
          <w:i w:val="false"/>
          <w:color w:val="000000"/>
          <w:sz w:val="22"/>
        </w:rPr>
        <w:t xml:space="preserve">Application. </w:t>
      </w:r>
      <w:r>
        <w:rPr>
          <w:rFonts w:ascii="Times New Roman" w:hAnsi="Times New Roman"/>
          <w:b w:val="false"/>
          <w:i w:val="false"/>
          <w:color w:val="000000"/>
          <w:sz w:val="22"/>
        </w:rPr>
        <w:t xml:space="preserve">An applicant for a commercial driver’s license shall comply with the requirements of Iowa Code sections </w:t>
      </w:r>
      <w:hyperlink r:id="rId41">
        <w:r>
          <w:rPr>
            <w:rStyle w:val="Hyperlink"/>
            <w:rFonts w:ascii="Times New Roman" w:hAnsi="Times New Roman"/>
            <w:b w:val="false"/>
            <w:i w:val="false"/>
            <w:color w:val="000000"/>
            <w:sz w:val="22"/>
          </w:rPr>
          <w:t>321.180(2)</w:t>
        </w:r>
        <w:r>
          <w:rPr>
            <w:rFonts w:ascii="Times New Roman" w:hAnsi="Times New Roman"/>
            <w:b w:val="false"/>
            <w:i/>
            <w:color w:val="000000"/>
            <w:sz w:val="22"/>
          </w:rPr>
          <w:t>“e,”</w:t>
        </w:r>
      </w:hyperlink>
      <w:hyperlink r:id="rId42">
        <w:r>
          <w:rPr>
            <w:rStyle w:val="Hyperlink"/>
            <w:rFonts w:ascii="Times New Roman" w:hAnsi="Times New Roman"/>
            <w:b w:val="false"/>
            <w:i w:val="false"/>
            <w:color w:val="000000"/>
            <w:sz w:val="22"/>
          </w:rPr>
          <w:t>321.182</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761—Chapter 601</w:t>
        </w:r>
      </w:hyperlink>
      <w:r>
        <w:rPr>
          <w:rFonts w:ascii="Times New Roman" w:hAnsi="Times New Roman"/>
          <w:b w:val="false"/>
          <w:i w:val="false"/>
          <w:color w:val="000000"/>
          <w:sz w:val="22"/>
        </w:rPr>
        <w:t>, and must provide the proofs of citizenship or lawful permanent residence and state of domicile required by 49 CFR Section 383.71. If the applicant is domiciled in a foreign jurisdiction and applying for a nondomiciled commercial driver’s license, the applicant must provide a document required by 49 CFR Section 383.71(f).</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5">
        <w:r>
          <w:rPr>
            <w:rStyle w:val="Hyperlink"/>
            <w:rFonts w:ascii="Times New Roman" w:hAnsi="Times New Roman"/>
            <w:b w:val="false"/>
            <w:i w:val="false"/>
            <w:color w:val="000000"/>
            <w:sz w:val="22"/>
          </w:rPr>
          <w:t>321.180</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321.182</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2071C</w:t>
      </w:r>
      <w:r>
        <w:rPr>
          <w:rFonts w:ascii="Times New Roman" w:hAnsi="Times New Roman"/>
          <w:b w:val="false"/>
          <w:i w:val="false"/>
          <w:color w:val="000000"/>
          <w:sz w:val="16"/>
        </w:rPr>
        <w:t>, IAB 8/5/15, effective 7/14/15</w:t>
      </w:r>
      <w:r>
        <w:rPr>
          <w:rFonts w:ascii="Times New Roman" w:hAnsi="Times New Roman"/>
          <w:b w:val="false"/>
          <w:i w:val="false"/>
          <w:color w:val="000000"/>
          <w:sz w:val="16"/>
        </w:rPr>
        <w:t xml:space="preserve">; </w:t>
      </w:r>
      <w:r>
        <w:rPr>
          <w:rFonts w:ascii="Times New Roman" w:hAnsi="Times New Roman"/>
          <w:b/>
          <w:i w:val="false"/>
          <w:color w:val="000000"/>
          <w:sz w:val="16"/>
        </w:rPr>
        <w:t>ARC 2337C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 xml:space="preserve">; </w:t>
      </w:r>
      <w:r>
        <w:rPr>
          <w:rFonts w:ascii="Times New Roman" w:hAnsi="Times New Roman"/>
          <w:b/>
          <w:i w:val="false"/>
          <w:color w:val="000000"/>
          <w:sz w:val="16"/>
        </w:rPr>
        <w:t>ARC 2530C</w:t>
      </w:r>
      <w:r>
        <w:rPr>
          <w:rFonts w:ascii="Times New Roman" w:hAnsi="Times New Roman"/>
          <w:b w:val="false"/>
          <w:i w:val="false"/>
          <w:color w:val="000000"/>
          <w:sz w:val="16"/>
        </w:rPr>
        <w:t>, IAB 5/11/16, effective 6/15/16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761—607.16</w:t>
      </w:r>
      <w:r>
        <w:rPr>
          <w:rFonts w:ascii="Times New Roman" w:hAnsi="Times New Roman"/>
          <w:b/>
          <w:i w:val="false"/>
          <w:color w:val="000000"/>
          <w:sz w:val="22"/>
        </w:rPr>
        <w:t xml:space="preserve">(321) </w:t>
      </w:r>
      <w:r>
        <w:rPr>
          <w:rFonts w:ascii="Times New Roman" w:hAnsi="Times New Roman"/>
          <w:b/>
          <w:i w:val="false"/>
          <w:color w:val="000000"/>
          <w:sz w:val="22"/>
        </w:rPr>
        <w:t xml:space="preserve">Commercial driver’s license (CDL).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607.16(1)</w:t>
      </w:r>
      <w:r>
        <w:rPr>
          <w:rFonts w:ascii="Times New Roman" w:hAnsi="Times New Roman"/>
          <w:b w:val="false"/>
          <w:i w:val="false"/>
          <w:color w:val="000000"/>
          <w:sz w:val="22"/>
        </w:rPr>
        <w:t> </w:t>
      </w:r>
      <w:r>
        <w:rPr>
          <w:rFonts w:ascii="Times New Roman" w:hAnsi="Times New Roman"/>
          <w:b w:val="false"/>
          <w:i/>
          <w:color w:val="000000"/>
          <w:sz w:val="22"/>
        </w:rPr>
        <w:t xml:space="preserve">Classes. </w:t>
      </w:r>
      <w:r>
        <w:rPr>
          <w:rFonts w:ascii="Times New Roman" w:hAnsi="Times New Roman"/>
          <w:b w:val="false"/>
          <w:i w:val="false"/>
          <w:color w:val="000000"/>
          <w:sz w:val="22"/>
        </w:rPr>
        <w:t>The department may issue a commercial driver’s license only as a Class A, B or C driver’s license. The license class identifies the types of vehicles that may be operated. A commercial driver’s license may have endorsements which authorize additional vehicle operations or restrictions which limit vehicle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607.16(2)</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Class A commercial driver’s license allows a person to operate a combination of commercial motor vehicles as specified in Iowa Code sections </w:t>
      </w:r>
      <w:hyperlink r:id="rId48">
        <w:r>
          <w:rPr>
            <w:rStyle w:val="Hyperlink"/>
            <w:rFonts w:ascii="Times New Roman" w:hAnsi="Times New Roman"/>
            <w:b w:val="false"/>
            <w:i w:val="false"/>
            <w:color w:val="000000"/>
            <w:sz w:val="22"/>
          </w:rPr>
          <w:t>321.1(11)</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321.189(1)</w:t>
        </w:r>
      </w:hyperlink>
      <w:r>
        <w:rPr>
          <w:rFonts w:ascii="Times New Roman" w:hAnsi="Times New Roman"/>
          <w:b w:val="false"/>
          <w:i/>
          <w:color w:val="000000"/>
          <w:sz w:val="22"/>
        </w:rPr>
        <w:t>“a”</w:t>
      </w:r>
      <w:r>
        <w:rPr>
          <w:rFonts w:ascii="Times New Roman" w:hAnsi="Times New Roman"/>
          <w:b w:val="false"/>
          <w:i w:val="false"/>
          <w:color w:val="000000"/>
          <w:sz w:val="22"/>
        </w:rPr>
        <w:t xml:space="preserve">(1). With the required endorsements and subject to the applicable restrictions, a Class A commercial driver’s license is valid to operate any vehicle. Before the department administers the skills test for a Class A commercial driver’s license to an applicant for the first time, the applicant must comply with the entry-level driver training requirements as provided in Iowa Code section </w:t>
      </w:r>
      <w:hyperlink r:id="rId50">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Class B commercial driver’s license allows a person to operate a commercial motor vehicle as specified in Iowa Code sections </w:t>
      </w:r>
      <w:hyperlink r:id="rId51">
        <w:r>
          <w:rPr>
            <w:rStyle w:val="Hyperlink"/>
            <w:rFonts w:ascii="Times New Roman" w:hAnsi="Times New Roman"/>
            <w:b w:val="false"/>
            <w:i w:val="false"/>
            <w:color w:val="000000"/>
            <w:sz w:val="22"/>
          </w:rPr>
          <w:t>321.1(11)</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321.189(1)</w:t>
        </w:r>
      </w:hyperlink>
      <w:r>
        <w:rPr>
          <w:rFonts w:ascii="Times New Roman" w:hAnsi="Times New Roman"/>
          <w:b w:val="false"/>
          <w:i/>
          <w:color w:val="000000"/>
          <w:sz w:val="22"/>
        </w:rPr>
        <w:t>“a”</w:t>
      </w:r>
      <w:r>
        <w:rPr>
          <w:rFonts w:ascii="Times New Roman" w:hAnsi="Times New Roman"/>
          <w:b w:val="false"/>
          <w:i w:val="false"/>
          <w:color w:val="000000"/>
          <w:sz w:val="22"/>
        </w:rPr>
        <w:t xml:space="preserve">(2). With the required endorsements and subject to the applicable restrictions, a Class B commercial driver’s license is valid to operate any vehicle except a truck-tractor semitrailer combination as a chauffeur (Class D) or a vehicle requiring a Class A commercial driver’s license. Before the department administers the skills test for a Class B commercial driver’s license to an applicant for the first time, the applicant must comply with the entry-level driver training requirements as provided in Iowa Code section </w:t>
      </w:r>
      <w:hyperlink r:id="rId53">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Class C commercial driver’s license allows a person to operate a commercial motor vehicle as specified in Iowa Code sections </w:t>
      </w:r>
      <w:hyperlink r:id="rId54">
        <w:r>
          <w:rPr>
            <w:rStyle w:val="Hyperlink"/>
            <w:rFonts w:ascii="Times New Roman" w:hAnsi="Times New Roman"/>
            <w:b w:val="false"/>
            <w:i w:val="false"/>
            <w:color w:val="000000"/>
            <w:sz w:val="22"/>
          </w:rPr>
          <w:t>321.1(11)</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321.189(1)</w:t>
        </w:r>
      </w:hyperlink>
      <w:r>
        <w:rPr>
          <w:rFonts w:ascii="Times New Roman" w:hAnsi="Times New Roman"/>
          <w:b w:val="false"/>
          <w:i/>
          <w:color w:val="000000"/>
          <w:sz w:val="22"/>
        </w:rPr>
        <w:t>“a”</w:t>
      </w:r>
      <w:r>
        <w:rPr>
          <w:rFonts w:ascii="Times New Roman" w:hAnsi="Times New Roman"/>
          <w:b w:val="false"/>
          <w:i w:val="false"/>
          <w:color w:val="000000"/>
          <w:sz w:val="22"/>
        </w:rPr>
        <w:t>(3) if the vehicle is designed to transport 16 or more passengers, including the driver, or is used in the transportation of hazardous materials as defined in 49 CFR Section 383.5. With the required endorsements and subject to the applicable restrictions, a Class C commercial driver’s license is valid to operate any vehicle except a vehicle requiring a Class A or Class B 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commercial driver’s license is valid for operating a motorcycle as a commercial motor vehicle only if the license has a motorcycle endorsement and a hazardous material endorsement. A commercial driver’s license is valid for operating a motorcycle as a noncommercial motor vehicle only if the license has a motorcycle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commercial driver’s license valid for eight years shall be issued to a qualified applicant who is at least 18 years of age but not yet 78 years of age. However, the expiration date of the license issued shall not exceed the licensee’s 80th birthday.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commercial driver’s license valid for two years shall be issued to a qualified applicant 78 years of age or older. A two-year license may also be issued, at the discretion of the department, to an applicant whose license is restricted due to vision or other physical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commercial driver’s license is valid for 60 days after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person with a commercial driver’s license valid for the vehicle operated is not required to obtain a Class D driver’s license to operate the vehicle as a chauffeur.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607.16(3)</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minimum age to obtain a commercial driver’s license is set out in 49 CFR, Part 391, Subpart B, except that, for a person operating solely intrastate, the driver age qualifications are set out in Iowa Code section </w:t>
      </w:r>
      <w:hyperlink r:id="rId56">
        <w:r>
          <w:rPr>
            <w:rStyle w:val="Hyperlink"/>
            <w:rFonts w:ascii="Times New Roman" w:hAnsi="Times New Roman"/>
            <w:b w:val="false"/>
            <w:i w:val="false"/>
            <w:color w:val="000000"/>
            <w:sz w:val="22"/>
          </w:rPr>
          <w:t>321.449(3)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meet the requirements set forth in rule </w:t>
      </w:r>
      <w:hyperlink r:id="rId57">
        <w:r>
          <w:rPr>
            <w:rStyle w:val="Hyperlink"/>
            <w:rFonts w:ascii="Times New Roman" w:hAnsi="Times New Roman"/>
            <w:b w:val="false"/>
            <w:i w:val="false"/>
            <w:color w:val="000000"/>
            <w:sz w:val="22"/>
          </w:rPr>
          <w:t>761—607.15</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607.16(4)</w:t>
      </w:r>
      <w:r>
        <w:rPr>
          <w:rFonts w:ascii="Times New Roman" w:hAnsi="Times New Roman"/>
          <w:b w:val="false"/>
          <w:i w:val="false"/>
          <w:color w:val="000000"/>
          <w:sz w:val="22"/>
        </w:rPr>
        <w:t> </w:t>
      </w:r>
      <w:r>
        <w:rPr>
          <w:rFonts w:ascii="Times New Roman" w:hAnsi="Times New Roman"/>
          <w:b w:val="false"/>
          <w:i/>
          <w:color w:val="000000"/>
          <w:sz w:val="22"/>
        </w:rPr>
        <w:t xml:space="preserve">Transition from five-year to eight-year licenses. </w:t>
      </w:r>
      <w:r>
        <w:rPr>
          <w:rFonts w:ascii="Times New Roman" w:hAnsi="Times New Roman"/>
          <w:b w:val="false"/>
          <w:i w:val="false"/>
          <w:color w:val="000000"/>
          <w:sz w:val="22"/>
        </w:rPr>
        <w:t>During the period January 1, 2014, to December 31, 2018, the department shall issue qualified applicants otherwise eligible for an eight-year license a five-year, six-year, seven-year, or eight-year license, subject to all applicable limitations for age and ability. The applicable period shall be randomly assigned to the applicant by the department’s computerized issuance system based on a distribution formula intended to spread renewal volumes as equally as practical over the eight-year period beginning January 1, 2019, and ending December 31,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607.16(5)</w:t>
      </w:r>
      <w:r>
        <w:rPr>
          <w:rFonts w:ascii="Times New Roman" w:hAnsi="Times New Roman"/>
          <w:b w:val="false"/>
          <w:i w:val="false"/>
          <w:color w:val="000000"/>
          <w:sz w:val="22"/>
        </w:rPr>
        <w:t> </w:t>
      </w:r>
      <w:r>
        <w:rPr>
          <w:rFonts w:ascii="Times New Roman" w:hAnsi="Times New Roman"/>
          <w:b w:val="false"/>
          <w:i/>
          <w:color w:val="000000"/>
          <w:sz w:val="22"/>
        </w:rPr>
        <w:t xml:space="preserve">License extension.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As provided in 49 CFR Section 383.153, a person may apply for a 60-day extension of a commercial driver’s license if the person: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a valid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eligible for further licensing,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temporarily absent from Iowa or is temporarily incapacitated at the time for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shall apply for an extension by submitting Form 430027 to the department. The form may be obtained from and submitted to a driver’s license service center. The person may also apply by letter to the address in </w:t>
      </w:r>
      <w:hyperlink r:id="rId58">
        <w:r>
          <w:rPr>
            <w:rStyle w:val="Hyperlink"/>
            <w:rFonts w:ascii="Times New Roman" w:hAnsi="Times New Roman"/>
            <w:b w:val="false"/>
            <w:i w:val="false"/>
            <w:color w:val="000000"/>
            <w:sz w:val="22"/>
          </w:rPr>
          <w:t>761—paragraph 605.12(1)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60-day extension shall be added to the expiration date on the license. When the person appears to renew the license, the expiration date of the renewed license will be computed from the expiration date of the original license, notwithstanding the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shall allow only one 60-day extension.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9">
        <w:r>
          <w:rPr>
            <w:rStyle w:val="Hyperlink"/>
            <w:rFonts w:ascii="Times New Roman" w:hAnsi="Times New Roman"/>
            <w:b w:val="false"/>
            <w:i w:val="false"/>
            <w:color w:val="000000"/>
            <w:sz w:val="22"/>
          </w:rPr>
          <w:t>321.1(8)</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2021 Iowa Acts, House File 389</w:t>
      </w:r>
      <w:r>
        <w:rPr>
          <w:rFonts w:ascii="Times New Roman" w:hAnsi="Times New Roman"/>
          <w:b w:val="false"/>
          <w:i w:val="false"/>
          <w:color w:val="000000"/>
          <w:sz w:val="22"/>
        </w:rPr>
        <w:t>, </w:t>
      </w:r>
      <w:hyperlink r:id="rId60">
        <w:r>
          <w:rPr>
            <w:rStyle w:val="Hyperlink"/>
            <w:rFonts w:ascii="Times New Roman" w:hAnsi="Times New Roman"/>
            <w:b w:val="false"/>
            <w:i w:val="false"/>
            <w:color w:val="000000"/>
            <w:sz w:val="22"/>
          </w:rPr>
          <w:t>321.177</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321.182</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w:t>
      </w:r>
      <w:hyperlink r:id="rId63">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w:t>
      </w:r>
      <w:hyperlink r:id="rId64">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 xml:space="preserve">, and </w:t>
      </w:r>
      <w:hyperlink r:id="rId65">
        <w:r>
          <w:rPr>
            <w:rStyle w:val="Hyperlink"/>
            <w:rFonts w:ascii="Times New Roman" w:hAnsi="Times New Roman"/>
            <w:b w:val="false"/>
            <w:i w:val="false"/>
            <w:color w:val="000000"/>
            <w:sz w:val="22"/>
          </w:rPr>
          <w:t>321.449</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2013 Iowa Acts, chapter 104, section 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1714C</w:t>
      </w:r>
      <w:r>
        <w:rPr>
          <w:rFonts w:ascii="Times New Roman" w:hAnsi="Times New Roman"/>
          <w:b w:val="false"/>
          <w:i w:val="false"/>
          <w:color w:val="000000"/>
          <w:sz w:val="16"/>
        </w:rPr>
        <w:t>, IAB 11/12/14, effective 12/17/14</w:t>
      </w:r>
      <w:r>
        <w:rPr>
          <w:rFonts w:ascii="Times New Roman" w:hAnsi="Times New Roman"/>
          <w:b w:val="false"/>
          <w:i w:val="false"/>
          <w:color w:val="000000"/>
          <w:sz w:val="16"/>
        </w:rPr>
        <w:t xml:space="preserve">; </w:t>
      </w:r>
      <w:r>
        <w:rPr>
          <w:rFonts w:ascii="Times New Roman" w:hAnsi="Times New Roman"/>
          <w:b/>
          <w:i w:val="false"/>
          <w:color w:val="000000"/>
          <w:sz w:val="16"/>
        </w:rPr>
        <w:t>ARC 2071C</w:t>
      </w:r>
      <w:r>
        <w:rPr>
          <w:rFonts w:ascii="Times New Roman" w:hAnsi="Times New Roman"/>
          <w:b w:val="false"/>
          <w:i w:val="false"/>
          <w:color w:val="000000"/>
          <w:sz w:val="16"/>
        </w:rPr>
        <w:t>, IAB 8/5/15, effective 7/14/15</w:t>
      </w:r>
      <w:r>
        <w:rPr>
          <w:rFonts w:ascii="Times New Roman" w:hAnsi="Times New Roman"/>
          <w:b w:val="false"/>
          <w:i w:val="false"/>
          <w:color w:val="000000"/>
          <w:sz w:val="16"/>
        </w:rPr>
        <w:t xml:space="preserve">; </w:t>
      </w:r>
      <w:r>
        <w:rPr>
          <w:rFonts w:ascii="Times New Roman" w:hAnsi="Times New Roman"/>
          <w:b/>
          <w:i w:val="false"/>
          <w:color w:val="000000"/>
          <w:sz w:val="16"/>
        </w:rPr>
        <w:t>ARC 2337C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 xml:space="preserve">; </w:t>
      </w:r>
      <w:r>
        <w:rPr>
          <w:rFonts w:ascii="Times New Roman" w:hAnsi="Times New Roman"/>
          <w:b/>
          <w:i w:val="false"/>
          <w:color w:val="000000"/>
          <w:sz w:val="16"/>
        </w:rPr>
        <w:t>ARC 4986C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5495C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 xml:space="preserve">; </w:t>
      </w:r>
      <w:r>
        <w:rPr>
          <w:rFonts w:ascii="Times New Roman" w:hAnsi="Times New Roman"/>
          <w:b/>
          <w:i w:val="false"/>
          <w:color w:val="000000"/>
          <w:sz w:val="16"/>
        </w:rPr>
        <w:t>ARC 5942C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i w:val="false"/>
          <w:color w:val="000000"/>
          <w:sz w:val="16"/>
        </w:rPr>
        <w:t>ARC 6307C</w:t>
      </w:r>
      <w:r>
        <w:rPr>
          <w:rFonts w:ascii="Times New Roman" w:hAnsi="Times New Roman"/>
          <w:b w:val="false"/>
          <w:i w:val="false"/>
          <w:color w:val="000000"/>
          <w:sz w:val="16"/>
        </w:rPr>
        <w:t>, IAB 5/4/22, effective 6/8/22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761—607.17</w:t>
      </w:r>
      <w:r>
        <w:rPr>
          <w:rFonts w:ascii="Times New Roman" w:hAnsi="Times New Roman"/>
          <w:b/>
          <w:i w:val="false"/>
          <w:color w:val="000000"/>
          <w:sz w:val="22"/>
        </w:rPr>
        <w:t xml:space="preserve">(321) </w:t>
      </w:r>
      <w:r>
        <w:rPr>
          <w:rFonts w:ascii="Times New Roman" w:hAnsi="Times New Roman"/>
          <w:b/>
          <w:i w:val="false"/>
          <w:color w:val="000000"/>
          <w:sz w:val="22"/>
        </w:rPr>
        <w:t xml:space="preserve">Endorsements. </w:t>
      </w:r>
      <w:r>
        <w:rPr>
          <w:rFonts w:ascii="Times New Roman" w:hAnsi="Times New Roman"/>
          <w:b w:val="false"/>
          <w:i w:val="false"/>
          <w:color w:val="000000"/>
          <w:sz w:val="22"/>
        </w:rPr>
        <w:t>All endorsements except the hazardous material endorsement continue to be valid without retesting or additional fees when renewing or upgrading a license. The endorsements that authorize additional commercial motor vehicle operations with a commercial driver’s license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607.17(1)</w:t>
      </w:r>
      <w:r>
        <w:rPr>
          <w:rFonts w:ascii="Times New Roman" w:hAnsi="Times New Roman"/>
          <w:b w:val="false"/>
          <w:i w:val="false"/>
          <w:color w:val="000000"/>
          <w:sz w:val="22"/>
        </w:rPr>
        <w:t> </w:t>
      </w:r>
      <w:r>
        <w:rPr>
          <w:rFonts w:ascii="Times New Roman" w:hAnsi="Times New Roman"/>
          <w:b w:val="false"/>
          <w:i/>
          <w:color w:val="000000"/>
          <w:sz w:val="22"/>
        </w:rPr>
        <w:t xml:space="preserve">Hazardous material. </w:t>
      </w:r>
      <w:r>
        <w:rPr>
          <w:rFonts w:ascii="Times New Roman" w:hAnsi="Times New Roman"/>
          <w:b w:val="false"/>
          <w:i w:val="false"/>
          <w:color w:val="000000"/>
          <w:sz w:val="22"/>
        </w:rPr>
        <w:t xml:space="preserve">A hazardous material endorsement (H) is required to transport hazardous materials. The hazardous material endorsement is only valid when the applicant or holder of the endorsement complies with the Transportation Security Administration’s security threat assessment standards specified in 49 CFR Sections 383.71(b)(8) and 383.141. Before the department administers the knowledge test for a hazardous material endorsement to an applicant for the first time, the applicant shall comply with the entry-level driver training requirements as provided in Iowa Code section </w:t>
      </w:r>
      <w:hyperlink r:id="rId66">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To obtain or retain the hazardous material endorsement, the applicant or holder must pass a knowledge test as required under 49 CFR Section 383.121 and pay the endorsement fee. Retesting and fee payment are also required when an applicant transfers a commercial driver’s license from another state unless, as provided in 49 CFR Section 383.73, the transfer applicant provides evidence of passing the knowledge test as required under 49 CFR Section 383.121 within the preceding 24 months. A farmer or a person working for a farmer is not subject to the hazardous material endorsement while operating either a pickup or a special truck within 150 air miles of the farmer’s farm to transport supplies to or from the farm.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607.17(2)</w:t>
      </w:r>
      <w:r>
        <w:rPr>
          <w:rFonts w:ascii="Times New Roman" w:hAnsi="Times New Roman"/>
          <w:b w:val="false"/>
          <w:i w:val="false"/>
          <w:color w:val="000000"/>
          <w:sz w:val="22"/>
        </w:rPr>
        <w:t> </w:t>
      </w:r>
      <w:r>
        <w:rPr>
          <w:rFonts w:ascii="Times New Roman" w:hAnsi="Times New Roman"/>
          <w:b w:val="false"/>
          <w:i/>
          <w:color w:val="000000"/>
          <w:sz w:val="22"/>
        </w:rPr>
        <w:t xml:space="preserve">Passenger vehicle. </w:t>
      </w:r>
      <w:r>
        <w:rPr>
          <w:rFonts w:ascii="Times New Roman" w:hAnsi="Times New Roman"/>
          <w:b w:val="false"/>
          <w:i w:val="false"/>
          <w:color w:val="000000"/>
          <w:sz w:val="22"/>
        </w:rPr>
        <w:t xml:space="preserve">A passenger vehicle endorsement (P) is required to operate a passenger vehicle as defined in rule </w:t>
      </w:r>
      <w:hyperlink r:id="rId67">
        <w:r>
          <w:rPr>
            <w:rStyle w:val="Hyperlink"/>
            <w:rFonts w:ascii="Times New Roman" w:hAnsi="Times New Roman"/>
            <w:b w:val="false"/>
            <w:i w:val="false"/>
            <w:color w:val="000000"/>
            <w:sz w:val="22"/>
          </w:rPr>
          <w:t>761—607.3</w:t>
        </w:r>
      </w:hyperlink>
      <w:r>
        <w:rPr>
          <w:rFonts w:ascii="Times New Roman" w:hAnsi="Times New Roman"/>
          <w:b w:val="false"/>
          <w:i w:val="false"/>
          <w:color w:val="000000"/>
          <w:sz w:val="22"/>
        </w:rPr>
        <w:t xml:space="preserve">(321). Before the department administers the skills test for a passenger vehicle endorsement to an applicant for the first time, the applicant shall comply with the entry-level driver training requirements as provided in Iowa Code section </w:t>
      </w:r>
      <w:hyperlink r:id="rId68">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607.17(3)</w:t>
      </w:r>
      <w:r>
        <w:rPr>
          <w:rFonts w:ascii="Times New Roman" w:hAnsi="Times New Roman"/>
          <w:b w:val="false"/>
          <w:i w:val="false"/>
          <w:color w:val="000000"/>
          <w:sz w:val="22"/>
        </w:rPr>
        <w:t> </w:t>
      </w:r>
      <w:r>
        <w:rPr>
          <w:rFonts w:ascii="Times New Roman" w:hAnsi="Times New Roman"/>
          <w:b w:val="false"/>
          <w:i/>
          <w:color w:val="000000"/>
          <w:sz w:val="22"/>
        </w:rPr>
        <w:t xml:space="preserve">Tank vehicle. </w:t>
      </w:r>
      <w:r>
        <w:rPr>
          <w:rFonts w:ascii="Times New Roman" w:hAnsi="Times New Roman"/>
          <w:b w:val="false"/>
          <w:i w:val="false"/>
          <w:color w:val="000000"/>
          <w:sz w:val="22"/>
        </w:rPr>
        <w:t xml:space="preserve">A tank vehicle endorsement (N) is required to operate a tank vehicle as defined in Iowa Code section </w:t>
      </w:r>
      <w:hyperlink r:id="rId69">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 vehicle transporting a tank, regardless of the tank’s capacity, which does not otherwise meet the definition of a commercial motor vehicle in Iowa Code section </w:t>
      </w:r>
      <w:hyperlink r:id="rId70">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is not a tank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607.17(4)</w:t>
      </w:r>
      <w:r>
        <w:rPr>
          <w:rFonts w:ascii="Times New Roman" w:hAnsi="Times New Roman"/>
          <w:b w:val="false"/>
          <w:i w:val="false"/>
          <w:color w:val="000000"/>
          <w:sz w:val="22"/>
        </w:rPr>
        <w:t> </w:t>
      </w:r>
      <w:r>
        <w:rPr>
          <w:rFonts w:ascii="Times New Roman" w:hAnsi="Times New Roman"/>
          <w:b w:val="false"/>
          <w:i/>
          <w:color w:val="000000"/>
          <w:sz w:val="22"/>
        </w:rPr>
        <w:t xml:space="preserve">Double/triple trailer. </w:t>
      </w:r>
      <w:r>
        <w:rPr>
          <w:rFonts w:ascii="Times New Roman" w:hAnsi="Times New Roman"/>
          <w:b w:val="false"/>
          <w:i w:val="false"/>
          <w:color w:val="000000"/>
          <w:sz w:val="22"/>
        </w:rPr>
        <w:t>A double/triple trailer endorsement (T) is required to operate a commercial motor vehicle with two or more towed trailers when the combination of vehicles meets the criteria for a Class A commercial motor vehicle. Operation of a triple trailer combination vehicle is not permitted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607.17(5)</w:t>
      </w:r>
      <w:r>
        <w:rPr>
          <w:rFonts w:ascii="Times New Roman" w:hAnsi="Times New Roman"/>
          <w:b w:val="false"/>
          <w:i w:val="false"/>
          <w:color w:val="000000"/>
          <w:sz w:val="22"/>
        </w:rPr>
        <w:t> </w:t>
      </w:r>
      <w:r>
        <w:rPr>
          <w:rFonts w:ascii="Times New Roman" w:hAnsi="Times New Roman"/>
          <w:b w:val="false"/>
          <w:i/>
          <w:color w:val="000000"/>
          <w:sz w:val="22"/>
        </w:rPr>
        <w:t xml:space="preserve">Hazardous material and tank. </w:t>
      </w:r>
      <w:r>
        <w:rPr>
          <w:rFonts w:ascii="Times New Roman" w:hAnsi="Times New Roman"/>
          <w:b w:val="false"/>
          <w:i w:val="false"/>
          <w:color w:val="000000"/>
          <w:sz w:val="22"/>
        </w:rPr>
        <w:t>A combined endorsement (X) authorizes both hazardous material and tank vehicle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607.17(6)</w:t>
      </w:r>
      <w:r>
        <w:rPr>
          <w:rFonts w:ascii="Times New Roman" w:hAnsi="Times New Roman"/>
          <w:b w:val="false"/>
          <w:i w:val="false"/>
          <w:color w:val="000000"/>
          <w:sz w:val="22"/>
        </w:rPr>
        <w:t> </w:t>
      </w:r>
      <w:r>
        <w:rPr>
          <w:rFonts w:ascii="Times New Roman" w:hAnsi="Times New Roman"/>
          <w:b w:val="false"/>
          <w:i/>
          <w:color w:val="000000"/>
          <w:sz w:val="22"/>
        </w:rPr>
        <w:t xml:space="preserve">School bus. </w:t>
      </w:r>
      <w:r>
        <w:rPr>
          <w:rFonts w:ascii="Times New Roman" w:hAnsi="Times New Roman"/>
          <w:b w:val="false"/>
          <w:i w:val="false"/>
          <w:color w:val="000000"/>
          <w:sz w:val="22"/>
        </w:rPr>
        <w:t xml:space="preserve">A school bus endorsement (S) is required to operate a school bus as defined in rule </w:t>
      </w:r>
      <w:hyperlink r:id="rId71">
        <w:r>
          <w:rPr>
            <w:rStyle w:val="Hyperlink"/>
            <w:rFonts w:ascii="Times New Roman" w:hAnsi="Times New Roman"/>
            <w:b w:val="false"/>
            <w:i w:val="false"/>
            <w:color w:val="000000"/>
            <w:sz w:val="22"/>
          </w:rPr>
          <w:t>761—607.3</w:t>
        </w:r>
      </w:hyperlink>
      <w:r>
        <w:rPr>
          <w:rFonts w:ascii="Times New Roman" w:hAnsi="Times New Roman"/>
          <w:b w:val="false"/>
          <w:i w:val="false"/>
          <w:color w:val="000000"/>
          <w:sz w:val="22"/>
        </w:rPr>
        <w:t xml:space="preserve">(321). An applicant for a school bus endorsement must also qualify for a passenger vehicle endorsement. Before the department administers the skills test for a school bus endorsement to an applicant for the first time, the applicant shall comply with the entry-level driver training requirements as provided in Iowa Code section </w:t>
      </w:r>
      <w:hyperlink r:id="rId72">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607.17(7)</w:t>
      </w:r>
      <w:r>
        <w:rPr>
          <w:rFonts w:ascii="Times New Roman" w:hAnsi="Times New Roman"/>
          <w:b w:val="false"/>
          <w:i w:val="false"/>
          <w:color w:val="000000"/>
          <w:sz w:val="22"/>
        </w:rPr>
        <w:t> </w:t>
      </w:r>
      <w:r>
        <w:rPr>
          <w:rFonts w:ascii="Times New Roman" w:hAnsi="Times New Roman"/>
          <w:b w:val="false"/>
          <w:i/>
          <w:color w:val="000000"/>
          <w:sz w:val="22"/>
        </w:rPr>
        <w:t xml:space="preserve">Exceptions for towing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driver who tows a vehicle in an emergency “first move” from the site of a vehicle malfunction or accident on a highway to the nearest appropriate repair facility is not required to have the endorsement(s) applicable to the towed vehicle. In any subsequent move, a driver who tows a vehicle from one repair or disposal facility to another is required to have the endorsement(s) applicable to the towed vehicle with one exception: A tow truck driver is not required to have a passenger endorsement to tow a passenger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double/triple trailer endorsement is not required to operate a commercial motor vehicle with two or more towed vehicles that are not trailers.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3">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321.176A</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and </w:t>
      </w:r>
      <w:hyperlink r:id="rId76">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2071C</w:t>
      </w:r>
      <w:r>
        <w:rPr>
          <w:rFonts w:ascii="Times New Roman" w:hAnsi="Times New Roman"/>
          <w:b w:val="false"/>
          <w:i w:val="false"/>
          <w:color w:val="000000"/>
          <w:sz w:val="16"/>
        </w:rPr>
        <w:t>, IAB 8/5/15, effective 7/14/15</w:t>
      </w:r>
      <w:r>
        <w:rPr>
          <w:rFonts w:ascii="Times New Roman" w:hAnsi="Times New Roman"/>
          <w:b w:val="false"/>
          <w:i w:val="false"/>
          <w:color w:val="000000"/>
          <w:sz w:val="16"/>
        </w:rPr>
        <w:t xml:space="preserve">; </w:t>
      </w:r>
      <w:r>
        <w:rPr>
          <w:rFonts w:ascii="Times New Roman" w:hAnsi="Times New Roman"/>
          <w:b/>
          <w:i w:val="false"/>
          <w:color w:val="000000"/>
          <w:sz w:val="16"/>
        </w:rPr>
        <w:t>ARC 2337C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 xml:space="preserve">; </w:t>
      </w:r>
      <w:r>
        <w:rPr>
          <w:rFonts w:ascii="Times New Roman" w:hAnsi="Times New Roman"/>
          <w:b/>
          <w:i w:val="false"/>
          <w:color w:val="000000"/>
          <w:sz w:val="16"/>
        </w:rPr>
        <w:t>ARC 2530C</w:t>
      </w:r>
      <w:r>
        <w:rPr>
          <w:rFonts w:ascii="Times New Roman" w:hAnsi="Times New Roman"/>
          <w:b w:val="false"/>
          <w:i w:val="false"/>
          <w:color w:val="000000"/>
          <w:sz w:val="16"/>
        </w:rPr>
        <w:t>, IAB 5/11/16, effective 6/15/16</w:t>
      </w:r>
      <w:r>
        <w:rPr>
          <w:rFonts w:ascii="Times New Roman" w:hAnsi="Times New Roman"/>
          <w:b w:val="false"/>
          <w:i w:val="false"/>
          <w:color w:val="000000"/>
          <w:sz w:val="16"/>
        </w:rPr>
        <w:t xml:space="preserve">; </w:t>
      </w:r>
      <w:r>
        <w:rPr>
          <w:rFonts w:ascii="Times New Roman" w:hAnsi="Times New Roman"/>
          <w:b/>
          <w:i w:val="false"/>
          <w:color w:val="000000"/>
          <w:sz w:val="16"/>
        </w:rPr>
        <w:t>ARC 4986C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761—607.18</w:t>
      </w:r>
      <w:r>
        <w:rPr>
          <w:rFonts w:ascii="Times New Roman" w:hAnsi="Times New Roman"/>
          <w:b/>
          <w:i w:val="false"/>
          <w:color w:val="000000"/>
          <w:sz w:val="22"/>
        </w:rPr>
        <w:t xml:space="preserve">(321) </w:t>
      </w:r>
      <w:r>
        <w:rPr>
          <w:rFonts w:ascii="Times New Roman" w:hAnsi="Times New Roman"/>
          <w:b/>
          <w:i w:val="false"/>
          <w:color w:val="000000"/>
          <w:sz w:val="22"/>
        </w:rPr>
        <w:t xml:space="preserve">Restrictions. </w:t>
      </w:r>
      <w:r>
        <w:rPr>
          <w:rFonts w:ascii="Times New Roman" w:hAnsi="Times New Roman"/>
          <w:b w:val="false"/>
          <w:i w:val="false"/>
          <w:color w:val="000000"/>
          <w:sz w:val="22"/>
        </w:rPr>
        <w:t xml:space="preserve">The restrictions that may limit commercial motor vehicle operation with a commercial driver’s license are listed in </w:t>
      </w:r>
      <w:hyperlink r:id="rId77">
        <w:r>
          <w:rPr>
            <w:rStyle w:val="Hyperlink"/>
            <w:rFonts w:ascii="Times New Roman" w:hAnsi="Times New Roman"/>
            <w:b w:val="false"/>
            <w:i w:val="false"/>
            <w:color w:val="000000"/>
            <w:sz w:val="22"/>
          </w:rPr>
          <w:t>761—subrule 605.8(3)</w:t>
        </w:r>
      </w:hyperlink>
      <w:r>
        <w:rPr>
          <w:rFonts w:ascii="Times New Roman" w:hAnsi="Times New Roman"/>
          <w:b w:val="false"/>
          <w:i w:val="false"/>
          <w:color w:val="000000"/>
          <w:sz w:val="22"/>
        </w:rPr>
        <w:t xml:space="preserve"> and are explained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607.18(1)</w:t>
      </w:r>
      <w:r>
        <w:rPr>
          <w:rFonts w:ascii="Times New Roman" w:hAnsi="Times New Roman"/>
          <w:b w:val="false"/>
          <w:i w:val="false"/>
          <w:color w:val="000000"/>
          <w:sz w:val="22"/>
        </w:rPr>
        <w:t> </w:t>
      </w:r>
      <w:r>
        <w:rPr>
          <w:rFonts w:ascii="Times New Roman" w:hAnsi="Times New Roman"/>
          <w:b w:val="false"/>
          <w:i/>
          <w:color w:val="000000"/>
          <w:sz w:val="22"/>
        </w:rPr>
        <w:t xml:space="preserve">Air brake. </w:t>
      </w:r>
      <w:r>
        <w:rPr>
          <w:rFonts w:ascii="Times New Roman" w:hAnsi="Times New Roman"/>
          <w:b w:val="false"/>
          <w:i w:val="false"/>
          <w:color w:val="000000"/>
          <w:sz w:val="22"/>
        </w:rPr>
        <w:t>The air brake restriction (L, no air brake equipped CMV) applies to a licensee who either fails the air brake component of the knowledge test or performs the skills test in a vehicle not equipped with air brakes and prohibits the operation of a commercial motor vehicle equipped with an air brake system until the licensee passes the required air brake tests and pays the fee for upgrading the license. Retesting and fee payment are not required when the license is renewed.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607.18(2)</w:t>
      </w:r>
      <w:r>
        <w:rPr>
          <w:rFonts w:ascii="Times New Roman" w:hAnsi="Times New Roman"/>
          <w:b w:val="false"/>
          <w:i w:val="false"/>
          <w:color w:val="000000"/>
          <w:sz w:val="22"/>
        </w:rPr>
        <w:t> </w:t>
      </w:r>
      <w:r>
        <w:rPr>
          <w:rFonts w:ascii="Times New Roman" w:hAnsi="Times New Roman"/>
          <w:b w:val="false"/>
          <w:i/>
          <w:color w:val="000000"/>
          <w:sz w:val="22"/>
        </w:rPr>
        <w:t xml:space="preserve">Full air brake. </w:t>
      </w:r>
      <w:r>
        <w:rPr>
          <w:rFonts w:ascii="Times New Roman" w:hAnsi="Times New Roman"/>
          <w:b w:val="false"/>
          <w:i w:val="false"/>
          <w:color w:val="000000"/>
          <w:sz w:val="22"/>
        </w:rPr>
        <w:t>The full air brake restriction (Z, no full air brake equipped CMV) applies to a licensee who performs the skills test in a vehicle equipped with air over hydraulic brakes and prohibits the operation of a commercial motor vehicle equipped with any braking system operating fully on the air brake principle until the licensee passes the required air brake tests and pays the fee for upgrading the license. Retesting and fee payment are not required when the license is renewed.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607.18(3)</w:t>
      </w:r>
      <w:r>
        <w:rPr>
          <w:rFonts w:ascii="Times New Roman" w:hAnsi="Times New Roman"/>
          <w:b w:val="false"/>
          <w:i w:val="false"/>
          <w:color w:val="000000"/>
          <w:sz w:val="22"/>
        </w:rPr>
        <w:t> </w:t>
      </w:r>
      <w:r>
        <w:rPr>
          <w:rFonts w:ascii="Times New Roman" w:hAnsi="Times New Roman"/>
          <w:b w:val="false"/>
          <w:i/>
          <w:color w:val="000000"/>
          <w:sz w:val="22"/>
        </w:rPr>
        <w:t xml:space="preserve">Manual transmission. </w:t>
      </w:r>
      <w:r>
        <w:rPr>
          <w:rFonts w:ascii="Times New Roman" w:hAnsi="Times New Roman"/>
          <w:b w:val="false"/>
          <w:i w:val="false"/>
          <w:color w:val="000000"/>
          <w:sz w:val="22"/>
        </w:rPr>
        <w:t>The manual transmission restriction (E, no manual transmission equipped CMV) applies to a licensee who performs the skills test in a vehicle equipped with automatic transmission and prohibits the operation of a commercial motor vehicle equipped with a manual transmission until the licensee passes the required tests and pays the fee for upgrading the license. Retesting and fee payment are not required when the license is renewed.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607.18(4)</w:t>
      </w:r>
      <w:r>
        <w:rPr>
          <w:rFonts w:ascii="Times New Roman" w:hAnsi="Times New Roman"/>
          <w:b w:val="false"/>
          <w:i w:val="false"/>
          <w:color w:val="000000"/>
          <w:sz w:val="22"/>
        </w:rPr>
        <w:t> </w:t>
      </w:r>
      <w:r>
        <w:rPr>
          <w:rFonts w:ascii="Times New Roman" w:hAnsi="Times New Roman"/>
          <w:b w:val="false"/>
          <w:i/>
          <w:color w:val="000000"/>
          <w:sz w:val="22"/>
        </w:rPr>
        <w:t xml:space="preserve">Tractor-trailer. </w:t>
      </w:r>
      <w:r>
        <w:rPr>
          <w:rFonts w:ascii="Times New Roman" w:hAnsi="Times New Roman"/>
          <w:b w:val="false"/>
          <w:i w:val="false"/>
          <w:color w:val="000000"/>
          <w:sz w:val="22"/>
        </w:rPr>
        <w:t>The tractor-trailer restriction (O, no tractor trailer CMV) applies to a licensee who performs the skills test in a combination vehicle for a Class A commercial driver’s license with the power unit and towed unit connected with a pintle hook or other non-fifth wheel connection and prohibits operation of a tractor-trailer combination connected by a fifth wheel that requires a Class A commercial driver’s license until the licensee passes the required tests and pays the fee for upgrading the license. Retesting and fee payment are not required when the license is renewed.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607.18(5)</w:t>
      </w:r>
      <w:r>
        <w:rPr>
          <w:rFonts w:ascii="Times New Roman" w:hAnsi="Times New Roman"/>
          <w:b w:val="false"/>
          <w:i w:val="false"/>
          <w:color w:val="000000"/>
          <w:sz w:val="22"/>
        </w:rPr>
        <w:t> </w:t>
      </w:r>
      <w:r>
        <w:rPr>
          <w:rFonts w:ascii="Times New Roman" w:hAnsi="Times New Roman"/>
          <w:b w:val="false"/>
          <w:i/>
          <w:color w:val="000000"/>
          <w:sz w:val="22"/>
        </w:rPr>
        <w:t xml:space="preserve">Class A passenger vehicle. </w:t>
      </w:r>
      <w:r>
        <w:rPr>
          <w:rFonts w:ascii="Times New Roman" w:hAnsi="Times New Roman"/>
          <w:b w:val="false"/>
          <w:i w:val="false"/>
          <w:color w:val="000000"/>
          <w:sz w:val="22"/>
        </w:rPr>
        <w:t>The Class A passenger vehicle restriction (M, no Class A passenger vehicle) applies to a licensee who applies for a passenger endorsement and performs the skills test in a passenger vehicle that requires a Class B commercial driver’s license and prohibits operation of a passenger vehicle that requires a Class A 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607.18(6)</w:t>
      </w:r>
      <w:r>
        <w:rPr>
          <w:rFonts w:ascii="Times New Roman" w:hAnsi="Times New Roman"/>
          <w:b w:val="false"/>
          <w:i w:val="false"/>
          <w:color w:val="000000"/>
          <w:sz w:val="22"/>
        </w:rPr>
        <w:t> </w:t>
      </w:r>
      <w:r>
        <w:rPr>
          <w:rFonts w:ascii="Times New Roman" w:hAnsi="Times New Roman"/>
          <w:b w:val="false"/>
          <w:i/>
          <w:color w:val="000000"/>
          <w:sz w:val="22"/>
        </w:rPr>
        <w:t xml:space="preserve">Class A and B passenger vehicle. </w:t>
      </w:r>
      <w:r>
        <w:rPr>
          <w:rFonts w:ascii="Times New Roman" w:hAnsi="Times New Roman"/>
          <w:b w:val="false"/>
          <w:i w:val="false"/>
          <w:color w:val="000000"/>
          <w:sz w:val="22"/>
        </w:rPr>
        <w:t>The Class A and B passenger vehicle restriction (N, no Class A and B passenger vehicle) applies to a licensee who applies for a passenger endorsement and performs the skills test in a passenger vehicle that requires a Class C commercial driver’s license and prohibits operation of a passenger vehicle that requires a Class A or Class B 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607.18(7)</w:t>
      </w:r>
      <w:r>
        <w:rPr>
          <w:rFonts w:ascii="Times New Roman" w:hAnsi="Times New Roman"/>
          <w:b w:val="false"/>
          <w:i w:val="false"/>
          <w:color w:val="000000"/>
          <w:sz w:val="22"/>
        </w:rPr>
        <w:t> </w:t>
      </w:r>
      <w:r>
        <w:rPr>
          <w:rFonts w:ascii="Times New Roman" w:hAnsi="Times New Roman"/>
          <w:b w:val="false"/>
          <w:i/>
          <w:color w:val="000000"/>
          <w:sz w:val="22"/>
        </w:rPr>
        <w:t xml:space="preserve">Intrastate only. </w:t>
      </w:r>
      <w:r>
        <w:rPr>
          <w:rFonts w:ascii="Times New Roman" w:hAnsi="Times New Roman"/>
          <w:b w:val="false"/>
          <w:i w:val="false"/>
          <w:color w:val="000000"/>
          <w:sz w:val="22"/>
        </w:rPr>
        <w:t>The intrastate only restriction (K, intrastate only) applies to a licensee who self-certifies to non-excepted intrastate or excepted intrastate driving and prohibits the operation of a commercial motor vehicle in interstate commerce.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607.18(8)</w:t>
      </w:r>
      <w:r>
        <w:rPr>
          <w:rFonts w:ascii="Times New Roman" w:hAnsi="Times New Roman"/>
          <w:b w:val="false"/>
          <w:i w:val="false"/>
          <w:color w:val="000000"/>
          <w:sz w:val="22"/>
        </w:rPr>
        <w:t> </w:t>
      </w:r>
      <w:r>
        <w:rPr>
          <w:rFonts w:ascii="Times New Roman" w:hAnsi="Times New Roman"/>
          <w:b w:val="false"/>
          <w:i/>
          <w:color w:val="000000"/>
          <w:sz w:val="22"/>
        </w:rPr>
        <w:t xml:space="preserve">Medical variance. </w:t>
      </w:r>
      <w:r>
        <w:rPr>
          <w:rFonts w:ascii="Times New Roman" w:hAnsi="Times New Roman"/>
          <w:b w:val="false"/>
          <w:i w:val="false"/>
          <w:color w:val="000000"/>
          <w:sz w:val="22"/>
        </w:rPr>
        <w:t>The medical variance restriction (V, medical variance) applies to a licensee when the department is notified pursuant to 49 CFR Section 383.73(o)(3) that the driver has been issued a medical variance and indicates there is information about a medical variance on the CDLIS driver record.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8">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and </w:t>
      </w:r>
      <w:hyperlink r:id="rId79">
        <w:r>
          <w:rPr>
            <w:rStyle w:val="Hyperlink"/>
            <w:rFonts w:ascii="Times New Roman" w:hAnsi="Times New Roman"/>
            <w:b w:val="false"/>
            <w:i w:val="false"/>
            <w:color w:val="000000"/>
            <w:sz w:val="22"/>
          </w:rPr>
          <w:t>321.191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2071C</w:t>
      </w:r>
      <w:r>
        <w:rPr>
          <w:rFonts w:ascii="Times New Roman" w:hAnsi="Times New Roman"/>
          <w:b w:val="false"/>
          <w:i w:val="false"/>
          <w:color w:val="000000"/>
          <w:sz w:val="16"/>
        </w:rPr>
        <w:t>, IAB 8/5/15, effective 7/14/15</w:t>
      </w:r>
      <w:r>
        <w:rPr>
          <w:rFonts w:ascii="Times New Roman" w:hAnsi="Times New Roman"/>
          <w:b w:val="false"/>
          <w:i w:val="false"/>
          <w:color w:val="000000"/>
          <w:sz w:val="16"/>
        </w:rPr>
        <w:t xml:space="preserve">; </w:t>
      </w:r>
      <w:r>
        <w:rPr>
          <w:rFonts w:ascii="Times New Roman" w:hAnsi="Times New Roman"/>
          <w:b/>
          <w:i w:val="false"/>
          <w:color w:val="000000"/>
          <w:sz w:val="16"/>
        </w:rPr>
        <w:t>ARC 2337C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 xml:space="preserve">; </w:t>
      </w:r>
      <w:r>
        <w:rPr>
          <w:rFonts w:ascii="Times New Roman" w:hAnsi="Times New Roman"/>
          <w:b/>
          <w:i w:val="false"/>
          <w:color w:val="000000"/>
          <w:sz w:val="16"/>
        </w:rPr>
        <w:t>ARC 2530C</w:t>
      </w:r>
      <w:r>
        <w:rPr>
          <w:rFonts w:ascii="Times New Roman" w:hAnsi="Times New Roman"/>
          <w:b w:val="false"/>
          <w:i w:val="false"/>
          <w:color w:val="000000"/>
          <w:sz w:val="16"/>
        </w:rPr>
        <w:t>, IAB 5/11/16, effective 6/15/16</w:t>
      </w:r>
      <w:r>
        <w:rPr>
          <w:rFonts w:ascii="Times New Roman" w:hAnsi="Times New Roman"/>
          <w:b w:val="false"/>
          <w:i w:val="false"/>
          <w:color w:val="000000"/>
          <w:sz w:val="16"/>
        </w:rPr>
        <w:t xml:space="preserve">; </w:t>
      </w:r>
      <w:r>
        <w:rPr>
          <w:rFonts w:ascii="Times New Roman" w:hAnsi="Times New Roman"/>
          <w:b/>
          <w:i w:val="false"/>
          <w:color w:val="000000"/>
          <w:sz w:val="16"/>
        </w:rPr>
        <w:t>ARC 4586C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761—607.19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761—607.20</w:t>
      </w:r>
      <w:r>
        <w:rPr>
          <w:rFonts w:ascii="Times New Roman" w:hAnsi="Times New Roman"/>
          <w:b/>
          <w:i w:val="false"/>
          <w:color w:val="000000"/>
          <w:sz w:val="22"/>
        </w:rPr>
        <w:t xml:space="preserve">(321) </w:t>
      </w:r>
      <w:r>
        <w:rPr>
          <w:rFonts w:ascii="Times New Roman" w:hAnsi="Times New Roman"/>
          <w:b/>
          <w:i w:val="false"/>
          <w:color w:val="000000"/>
          <w:sz w:val="22"/>
        </w:rPr>
        <w:t xml:space="preserve">Commercial learner’s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607.20(1)</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commercial learner’s permit allows the permit holder to operate a commercial motor vehicle when accompanied as required by Iowa Code section </w:t>
      </w:r>
      <w:hyperlink r:id="rId80">
        <w:r>
          <w:rPr>
            <w:rStyle w:val="Hyperlink"/>
            <w:rFonts w:ascii="Times New Roman" w:hAnsi="Times New Roman"/>
            <w:b w:val="false"/>
            <w:i w:val="false"/>
            <w:color w:val="000000"/>
            <w:sz w:val="22"/>
          </w:rPr>
          <w:t>321.180(2)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commercial learner’s permit is valid for one year without retaking the general and endorsement knowledge tests required by Iowa Code section </w:t>
      </w:r>
      <w:hyperlink r:id="rId81">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commercial learner’s permit is invalid after the expiration date of the underlying commercial or noncommercial driver’s license issued to the permit holder or the expiration date of the permit whichever occurs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issuance of a commercial learner’s permit is a precondition to the initial issuance of a commercial driver’s license. The issuance of a commercial learner’s permit is also a precondition to the upgrade of a commercial driver’s license if the upgrade requires a skills test. If the permit holder is subject to the requirement to complete entry-level driver training as provided in Iowa Code section </w:t>
      </w:r>
      <w:hyperlink r:id="rId82">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the permit holder shall complete the training after the permit holder obtains the commercial learner’s permit, but before the permit holder takes the required skills test. The holder of a commercial learner’s permit is not eligible to take a required driving skills test for the first 14 days after the permit holder is issued the permit. The 14-day period includes the day the commercial learner’s permit was issued.</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The commercial learner’s permit is issued on September 1. The earliest date the permit holder would be eligible to take the skills test is September 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commercial learner’s permit is not valid for the operation of a vehicle transporting hazardous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607.20(2)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 commercial learner’s permit must hold a valid Class A, B, C, or D driver’s license issued in this state that is not an instruction permit, a special instruction permit, a motorized bicycle license or a temporary restricted license; must be at least 18 years of age; and must meet the requirements to obtain a valid commercial driver’s license, including the requirements set forth in Iowa Code section </w:t>
      </w:r>
      <w:hyperlink r:id="rId83">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However, the applicant does not have to complete the driving skills tests required for a commercial driver’s license to obtain a commercial learner’s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must successfully pass a general knowledge test that meets the federal standards contained in 49 CFR Part 383, Subparts F, G and H, for the commercial motor vehicle the applicant operates or expects to operate, including any endorsement for which the applicant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607.20(3)</w:t>
      </w:r>
      <w:r>
        <w:rPr>
          <w:rFonts w:ascii="Times New Roman" w:hAnsi="Times New Roman"/>
          <w:b w:val="false"/>
          <w:i w:val="false"/>
          <w:color w:val="000000"/>
          <w:sz w:val="22"/>
        </w:rPr>
        <w:t> </w:t>
      </w:r>
      <w:r>
        <w:rPr>
          <w:rFonts w:ascii="Times New Roman" w:hAnsi="Times New Roman"/>
          <w:b w:val="false"/>
          <w:i/>
          <w:color w:val="000000"/>
          <w:sz w:val="22"/>
        </w:rPr>
        <w:t xml:space="preserve">Endorsements. </w:t>
      </w:r>
      <w:r>
        <w:rPr>
          <w:rFonts w:ascii="Times New Roman" w:hAnsi="Times New Roman"/>
          <w:b w:val="false"/>
          <w:i w:val="false"/>
          <w:color w:val="000000"/>
          <w:sz w:val="22"/>
        </w:rPr>
        <w:t>A commercial learner’s permit may include the following endorsements. All other endorsements are prohibited on a commercial learner’s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 passenger endorsement (P) must take and pass the passenger endorsement knowledge test. A commercial learner’s permit holder with a passenger endorsement is prohibited from operating a commercial motor vehicle carrying passengers, other than federal/state auditors and inspectors, test examiners, other trainees, and the commercial driver’s license holder accompanying the permit holder required by Iowa Code section </w:t>
      </w:r>
      <w:hyperlink r:id="rId84">
        <w:r>
          <w:rPr>
            <w:rStyle w:val="Hyperlink"/>
            <w:rFonts w:ascii="Times New Roman" w:hAnsi="Times New Roman"/>
            <w:b w:val="false"/>
            <w:i w:val="false"/>
            <w:color w:val="000000"/>
            <w:sz w:val="22"/>
          </w:rPr>
          <w:t>321.180(2)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 school bus endorsement (S) must take and pass the school bus endorsement knowledge test. A commercial learner’s permit holder with a school bus endorsement is prohibited from operating a commercial motor vehicle carrying passengers, other than federal/state auditors and inspectors, test examiners, other trainees, and the commercial driver’s license holder accompanying the permit holder required by Iowa Code section </w:t>
      </w:r>
      <w:hyperlink r:id="rId85">
        <w:r>
          <w:rPr>
            <w:rStyle w:val="Hyperlink"/>
            <w:rFonts w:ascii="Times New Roman" w:hAnsi="Times New Roman"/>
            <w:b w:val="false"/>
            <w:i w:val="false"/>
            <w:color w:val="000000"/>
            <w:sz w:val="22"/>
          </w:rPr>
          <w:t>321.180(2)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for a tank vehicle endorsement (N) must take and pass the tank vehicle endorsement knowledge test. A commercial learner’s permit holder with a tank vehicle endorsement may only operate an empty tank vehicle and is prohibited from operating any tank vehicle that previously contained hazardous materials that has not been purged of any residue.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607.20(4)</w:t>
      </w:r>
      <w:r>
        <w:rPr>
          <w:rFonts w:ascii="Times New Roman" w:hAnsi="Times New Roman"/>
          <w:b w:val="false"/>
          <w:i w:val="false"/>
          <w:color w:val="000000"/>
          <w:sz w:val="22"/>
        </w:rPr>
        <w:t> </w:t>
      </w:r>
      <w:r>
        <w:rPr>
          <w:rFonts w:ascii="Times New Roman" w:hAnsi="Times New Roman"/>
          <w:b w:val="false"/>
          <w:i/>
          <w:color w:val="000000"/>
          <w:sz w:val="22"/>
        </w:rPr>
        <w:t xml:space="preserve">Restrictions. </w:t>
      </w:r>
      <w:r>
        <w:rPr>
          <w:rFonts w:ascii="Times New Roman" w:hAnsi="Times New Roman"/>
          <w:b w:val="false"/>
          <w:i w:val="false"/>
          <w:color w:val="000000"/>
          <w:sz w:val="22"/>
        </w:rPr>
        <w:t xml:space="preserve">A commercial learner’s permit may include the air brake (L), medical variance (V), Class A passenger vehicle (M), Class A and B passenger vehicle (N) and intrastate only (K) restrictions described in rule </w:t>
      </w:r>
      <w:hyperlink r:id="rId86">
        <w:r>
          <w:rPr>
            <w:rStyle w:val="Hyperlink"/>
            <w:rFonts w:ascii="Times New Roman" w:hAnsi="Times New Roman"/>
            <w:b w:val="false"/>
            <w:i w:val="false"/>
            <w:color w:val="000000"/>
            <w:sz w:val="22"/>
          </w:rPr>
          <w:t>761—607.18</w:t>
        </w:r>
      </w:hyperlink>
      <w:r>
        <w:rPr>
          <w:rFonts w:ascii="Times New Roman" w:hAnsi="Times New Roman"/>
          <w:b w:val="false"/>
          <w:i w:val="false"/>
          <w:color w:val="000000"/>
          <w:sz w:val="22"/>
        </w:rPr>
        <w:t>(321). In addition, a commercial learner’s permit may include the following restrictions that are specific to the commercial learner’s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Passenger. </w:t>
      </w:r>
      <w:r>
        <w:rPr>
          <w:rFonts w:ascii="Times New Roman" w:hAnsi="Times New Roman"/>
          <w:b w:val="false"/>
          <w:i w:val="false"/>
          <w:color w:val="000000"/>
          <w:sz w:val="22"/>
        </w:rPr>
        <w:t xml:space="preserve">The passenger restriction (P, no passengers in CMV bus) applies to a permit holder who has a commercial learner’s permit with a passenger or school bus endorsement and prohibits the operation of a commercial motor vehicle carrying passengers, other than federal/state auditors and inspectors, test examiners, other trainees, and the commercial driver’s license holder accompanying the permit holder required by Iowa Code section </w:t>
      </w:r>
      <w:hyperlink r:id="rId87">
        <w:r>
          <w:rPr>
            <w:rStyle w:val="Hyperlink"/>
            <w:rFonts w:ascii="Times New Roman" w:hAnsi="Times New Roman"/>
            <w:b w:val="false"/>
            <w:i w:val="false"/>
            <w:color w:val="000000"/>
            <w:sz w:val="22"/>
          </w:rPr>
          <w:t>321.180(2)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Cargo. </w:t>
      </w:r>
      <w:r>
        <w:rPr>
          <w:rFonts w:ascii="Times New Roman" w:hAnsi="Times New Roman"/>
          <w:b w:val="false"/>
          <w:i w:val="false"/>
          <w:color w:val="000000"/>
          <w:sz w:val="22"/>
        </w:rPr>
        <w:t>The cargo restriction (X, no cargo in CMV tank vehicle) applies to a permit holder who has a commercial learner’s permit with a tank vehicle endorsement and prohibits the operation of any tank vehicle containing cargo or any tank vehicle that previously contained hazardous materials that has not been purged of any residue.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8">
        <w:r>
          <w:rPr>
            <w:rStyle w:val="Hyperlink"/>
            <w:rFonts w:ascii="Times New Roman" w:hAnsi="Times New Roman"/>
            <w:b w:val="false"/>
            <w:i w:val="false"/>
            <w:color w:val="000000"/>
            <w:sz w:val="22"/>
          </w:rPr>
          <w:t>321.180</w:t>
        </w:r>
      </w:hyperlink>
      <w:r>
        <w:rPr>
          <w:rFonts w:ascii="Times New Roman" w:hAnsi="Times New Roman"/>
          <w:b w:val="false"/>
          <w:i w:val="false"/>
          <w:color w:val="000000"/>
          <w:sz w:val="22"/>
        </w:rPr>
        <w:t xml:space="preserve">, </w:t>
      </w:r>
      <w:hyperlink r:id="rId89">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and </w:t>
      </w:r>
      <w:hyperlink r:id="rId90">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2071C</w:t>
      </w:r>
      <w:r>
        <w:rPr>
          <w:rFonts w:ascii="Times New Roman" w:hAnsi="Times New Roman"/>
          <w:b w:val="false"/>
          <w:i w:val="false"/>
          <w:color w:val="000000"/>
          <w:sz w:val="16"/>
        </w:rPr>
        <w:t>, IAB 8/5/15, effective 7/14/15</w:t>
      </w:r>
      <w:r>
        <w:rPr>
          <w:rFonts w:ascii="Times New Roman" w:hAnsi="Times New Roman"/>
          <w:b w:val="false"/>
          <w:i w:val="false"/>
          <w:color w:val="000000"/>
          <w:sz w:val="16"/>
        </w:rPr>
        <w:t xml:space="preserve">; </w:t>
      </w:r>
      <w:r>
        <w:rPr>
          <w:rFonts w:ascii="Times New Roman" w:hAnsi="Times New Roman"/>
          <w:b/>
          <w:i w:val="false"/>
          <w:color w:val="000000"/>
          <w:sz w:val="16"/>
        </w:rPr>
        <w:t>ARC 2337C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 xml:space="preserve">; </w:t>
      </w:r>
      <w:r>
        <w:rPr>
          <w:rFonts w:ascii="Times New Roman" w:hAnsi="Times New Roman"/>
          <w:b/>
          <w:i w:val="false"/>
          <w:color w:val="000000"/>
          <w:sz w:val="16"/>
        </w:rPr>
        <w:t>ARC 2530C</w:t>
      </w:r>
      <w:r>
        <w:rPr>
          <w:rFonts w:ascii="Times New Roman" w:hAnsi="Times New Roman"/>
          <w:b w:val="false"/>
          <w:i w:val="false"/>
          <w:color w:val="000000"/>
          <w:sz w:val="16"/>
        </w:rPr>
        <w:t>, IAB 5/11/16, effective 6/15/16</w:t>
      </w:r>
      <w:r>
        <w:rPr>
          <w:rFonts w:ascii="Times New Roman" w:hAnsi="Times New Roman"/>
          <w:b w:val="false"/>
          <w:i w:val="false"/>
          <w:color w:val="000000"/>
          <w:sz w:val="16"/>
        </w:rPr>
        <w:t xml:space="preserve">; </w:t>
      </w:r>
      <w:r>
        <w:rPr>
          <w:rFonts w:ascii="Times New Roman" w:hAnsi="Times New Roman"/>
          <w:b/>
          <w:i w:val="false"/>
          <w:color w:val="000000"/>
          <w:sz w:val="16"/>
        </w:rPr>
        <w:t>ARC 3689C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i w:val="false"/>
          <w:color w:val="000000"/>
          <w:sz w:val="16"/>
        </w:rPr>
        <w:t>ARC 4986C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761—607.21</w:t>
      </w:r>
      <w:r>
        <w:rPr>
          <w:rFonts w:ascii="Times New Roman" w:hAnsi="Times New Roman"/>
          <w:b w:val="false"/>
          <w:i w:val="false"/>
          <w:color w:val="000000"/>
          <w:sz w:val="22"/>
        </w:rPr>
        <w:t xml:space="preserve"> to </w:t>
      </w:r>
      <w:r>
        <w:rPr>
          <w:rFonts w:ascii="Times New Roman" w:hAnsi="Times New Roman"/>
          <w:b/>
          <w:i w:val="false"/>
          <w:color w:val="000000"/>
          <w:sz w:val="22"/>
        </w:rPr>
        <w:t>607.24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761—607.25</w:t>
      </w:r>
      <w:r>
        <w:rPr>
          <w:rFonts w:ascii="Times New Roman" w:hAnsi="Times New Roman"/>
          <w:b/>
          <w:i w:val="false"/>
          <w:color w:val="000000"/>
          <w:sz w:val="22"/>
        </w:rPr>
        <w:t xml:space="preserve">(321) </w:t>
      </w:r>
      <w:r>
        <w:rPr>
          <w:rFonts w:ascii="Times New Roman" w:hAnsi="Times New Roman"/>
          <w:b/>
          <w:i w:val="false"/>
          <w:color w:val="000000"/>
          <w:sz w:val="22"/>
        </w:rPr>
        <w:t xml:space="preserve">Examination for a commercial driver’s license. </w:t>
      </w:r>
      <w:r>
        <w:rPr>
          <w:rFonts w:ascii="Times New Roman" w:hAnsi="Times New Roman"/>
          <w:b w:val="false"/>
          <w:i w:val="false"/>
          <w:color w:val="000000"/>
          <w:sz w:val="22"/>
        </w:rPr>
        <w:t xml:space="preserve">In addition to the requirements of </w:t>
      </w:r>
      <w:hyperlink r:id="rId91">
        <w:r>
          <w:rPr>
            <w:rStyle w:val="Hyperlink"/>
            <w:rFonts w:ascii="Times New Roman" w:hAnsi="Times New Roman"/>
            <w:b w:val="false"/>
            <w:i w:val="false"/>
            <w:color w:val="000000"/>
            <w:sz w:val="22"/>
          </w:rPr>
          <w:t>761—Chapter 604</w:t>
        </w:r>
      </w:hyperlink>
      <w:r>
        <w:rPr>
          <w:rFonts w:ascii="Times New Roman" w:hAnsi="Times New Roman"/>
          <w:b w:val="false"/>
          <w:i w:val="false"/>
          <w:color w:val="000000"/>
          <w:sz w:val="22"/>
        </w:rPr>
        <w:t>, an applicant for a commercial driver’s license shall pass the knowledge and skills tests as required in 49 CFR Part 383, Subparts G and H.</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2">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761—607.26</w:t>
      </w:r>
      <w:r>
        <w:rPr>
          <w:rFonts w:ascii="Times New Roman" w:hAnsi="Times New Roman"/>
          <w:b/>
          <w:i w:val="false"/>
          <w:color w:val="000000"/>
          <w:sz w:val="22"/>
        </w:rPr>
        <w:t xml:space="preserve">(321) </w:t>
      </w:r>
      <w:r>
        <w:rPr>
          <w:rFonts w:ascii="Times New Roman" w:hAnsi="Times New Roman"/>
          <w:b/>
          <w:i w:val="false"/>
          <w:color w:val="000000"/>
          <w:sz w:val="22"/>
        </w:rPr>
        <w:t xml:space="preserve">Vision screening. </w:t>
      </w:r>
      <w:r>
        <w:rPr>
          <w:rFonts w:ascii="Times New Roman" w:hAnsi="Times New Roman"/>
          <w:b w:val="false"/>
          <w:i w:val="false"/>
          <w:color w:val="000000"/>
          <w:sz w:val="22"/>
        </w:rPr>
        <w:t xml:space="preserve">An applicant for a commercial driver’s license or commercial learner’s permit must pass a vision screening test administered by the department. The vision standards are given in </w:t>
      </w:r>
      <w:hyperlink r:id="rId93">
        <w:r>
          <w:rPr>
            <w:rStyle w:val="Hyperlink"/>
            <w:rFonts w:ascii="Times New Roman" w:hAnsi="Times New Roman"/>
            <w:b w:val="false"/>
            <w:i w:val="false"/>
            <w:color w:val="000000"/>
            <w:sz w:val="22"/>
          </w:rPr>
          <w:t>761—604.11</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4">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and </w:t>
      </w:r>
      <w:hyperlink r:id="rId95">
        <w:r>
          <w:rPr>
            <w:rStyle w:val="Hyperlink"/>
            <w:rFonts w:ascii="Times New Roman" w:hAnsi="Times New Roman"/>
            <w:b w:val="false"/>
            <w:i w:val="false"/>
            <w:color w:val="000000"/>
            <w:sz w:val="22"/>
          </w:rPr>
          <w:t>321.186A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2071C</w:t>
      </w:r>
      <w:r>
        <w:rPr>
          <w:rFonts w:ascii="Times New Roman" w:hAnsi="Times New Roman"/>
          <w:b w:val="false"/>
          <w:i w:val="false"/>
          <w:color w:val="000000"/>
          <w:sz w:val="16"/>
        </w:rPr>
        <w:t>, IAB 8/5/15, effective 7/14/15</w:t>
      </w:r>
      <w:r>
        <w:rPr>
          <w:rFonts w:ascii="Times New Roman" w:hAnsi="Times New Roman"/>
          <w:b w:val="false"/>
          <w:i w:val="false"/>
          <w:color w:val="000000"/>
          <w:sz w:val="16"/>
        </w:rPr>
        <w:t xml:space="preserve">; </w:t>
      </w:r>
      <w:r>
        <w:rPr>
          <w:rFonts w:ascii="Times New Roman" w:hAnsi="Times New Roman"/>
          <w:b/>
          <w:i w:val="false"/>
          <w:color w:val="000000"/>
          <w:sz w:val="16"/>
        </w:rPr>
        <w:t>ARC 2337C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761—607.27</w:t>
      </w:r>
      <w:r>
        <w:rPr>
          <w:rFonts w:ascii="Times New Roman" w:hAnsi="Times New Roman"/>
          <w:b/>
          <w:i w:val="false"/>
          <w:color w:val="000000"/>
          <w:sz w:val="22"/>
        </w:rPr>
        <w:t xml:space="preserve">(321) </w:t>
      </w:r>
      <w:r>
        <w:rPr>
          <w:rFonts w:ascii="Times New Roman" w:hAnsi="Times New Roman"/>
          <w:b/>
          <w:i w:val="false"/>
          <w:color w:val="000000"/>
          <w:sz w:val="22"/>
        </w:rPr>
        <w:t xml:space="preserve">Knowledge tests.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607.27(1)</w:t>
      </w:r>
      <w:r>
        <w:rPr>
          <w:rFonts w:ascii="Times New Roman" w:hAnsi="Times New Roman"/>
          <w:b w:val="false"/>
          <w:i w:val="false"/>
          <w:color w:val="000000"/>
          <w:sz w:val="22"/>
        </w:rPr>
        <w:t> </w:t>
      </w:r>
      <w:r>
        <w:rPr>
          <w:rFonts w:ascii="Times New Roman" w:hAnsi="Times New Roman"/>
          <w:b w:val="false"/>
          <w:i/>
          <w:color w:val="000000"/>
          <w:sz w:val="22"/>
        </w:rPr>
        <w:t xml:space="preserve">General knowledge test. </w:t>
      </w:r>
      <w:r>
        <w:rPr>
          <w:rFonts w:ascii="Times New Roman" w:hAnsi="Times New Roman"/>
          <w:b w:val="false"/>
          <w:i w:val="false"/>
          <w:color w:val="000000"/>
          <w:sz w:val="22"/>
        </w:rPr>
        <w:t>The general knowledge test for a commercial driver’s license is a written test of topics such as vehicle inspection, operation, safety and control in accordance with 49 CFR Section 383.111.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607.27(2)</w:t>
      </w:r>
      <w:r>
        <w:rPr>
          <w:rFonts w:ascii="Times New Roman" w:hAnsi="Times New Roman"/>
          <w:b w:val="false"/>
          <w:i w:val="false"/>
          <w:color w:val="000000"/>
          <w:sz w:val="22"/>
        </w:rPr>
        <w:t> </w:t>
      </w:r>
      <w:r>
        <w:rPr>
          <w:rFonts w:ascii="Times New Roman" w:hAnsi="Times New Roman"/>
          <w:b w:val="false"/>
          <w:i/>
          <w:color w:val="000000"/>
          <w:sz w:val="22"/>
        </w:rPr>
        <w:t xml:space="preserve">Additional tests. </w:t>
      </w:r>
      <w:r>
        <w:rPr>
          <w:rFonts w:ascii="Times New Roman" w:hAnsi="Times New Roman"/>
          <w:b w:val="false"/>
          <w:i w:val="false"/>
          <w:color w:val="000000"/>
          <w:sz w:val="22"/>
        </w:rPr>
        <w:t>In addition to the general knowledge test for a commercial driver’s license, an additional knowledge test is required for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Class A license for combination vehicle operation as required in 49 CFR Section 383.111.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Hazardous material endorsement as required in 49 CFR Section 383.121. The knowledge test for a hazardous material endorsement shall not be administered orally or in a language other than English.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Passenger vehicle endorsement as required in 49 CFR Section 383.117.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Tank vehicle endorsement as required in 49 CFR Section 383.119.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Double/triple trailer endorsement as required in 49 CFR Section 383.115.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School bus endorsement as required in 49 CFR Section 383.123. The applicant must also qualify for a passenger vehicle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Removal of the air brake restriction as required in 49 CFR Section 383.111.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607.27(3)</w:t>
      </w:r>
      <w:r>
        <w:rPr>
          <w:rFonts w:ascii="Times New Roman" w:hAnsi="Times New Roman"/>
          <w:b w:val="false"/>
          <w:i w:val="false"/>
          <w:color w:val="000000"/>
          <w:sz w:val="22"/>
        </w:rPr>
        <w:t> </w:t>
      </w:r>
      <w:r>
        <w:rPr>
          <w:rFonts w:ascii="Times New Roman" w:hAnsi="Times New Roman"/>
          <w:b w:val="false"/>
          <w:i/>
          <w:color w:val="000000"/>
          <w:sz w:val="22"/>
        </w:rPr>
        <w:t xml:space="preserve">Test methods. </w:t>
      </w:r>
      <w:r>
        <w:rPr>
          <w:rFonts w:ascii="Times New Roman" w:hAnsi="Times New Roman"/>
          <w:b w:val="false"/>
          <w:i w:val="false"/>
          <w:color w:val="000000"/>
          <w:sz w:val="22"/>
        </w:rPr>
        <w:t>All knowledge tests shall be administered in compliance with 49 CFR Section 383.133(b). All tests other than the hazardous material endorsement test may be administered in written form, verbally, or in automated format and can be administered in a foreign language, provided no interpreter is used in administering the test. A verbal test shall be offered only at specified locations. Information about the locations is available at any driver’s license service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607.27(4)</w:t>
      </w: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 xml:space="preserve">A waiver of any knowledge test is permitted only as provided in Iowa Code section </w:t>
      </w:r>
      <w:hyperlink r:id="rId96">
        <w:r>
          <w:rPr>
            <w:rStyle w:val="Hyperlink"/>
            <w:rFonts w:ascii="Times New Roman" w:hAnsi="Times New Roman"/>
            <w:b w:val="false"/>
            <w:i w:val="false"/>
            <w:color w:val="000000"/>
            <w:sz w:val="22"/>
          </w:rPr>
          <w:t>321.188(5)</w:t>
        </w:r>
      </w:hyperlink>
      <w:r>
        <w:rPr>
          <w:rFonts w:ascii="Times New Roman" w:hAnsi="Times New Roman"/>
          <w:b w:val="false"/>
          <w:i w:val="false"/>
          <w:color w:val="000000"/>
          <w:sz w:val="22"/>
        </w:rPr>
        <w:t xml:space="preserve"> and this chapter. The burden of proof of having passed the hazardous material endorsement test within the preceding 24 months rests with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607.27(5)</w:t>
      </w:r>
      <w:r>
        <w:rPr>
          <w:rFonts w:ascii="Times New Roman" w:hAnsi="Times New Roman"/>
          <w:b w:val="false"/>
          <w:i w:val="false"/>
          <w:color w:val="000000"/>
          <w:sz w:val="22"/>
        </w:rPr>
        <w:t> </w:t>
      </w:r>
      <w:r>
        <w:rPr>
          <w:rFonts w:ascii="Times New Roman" w:hAnsi="Times New Roman"/>
          <w:b w:val="false"/>
          <w:i/>
          <w:color w:val="000000"/>
          <w:sz w:val="22"/>
        </w:rPr>
        <w:t xml:space="preserve">Military waiver. </w:t>
      </w:r>
      <w:r>
        <w:rPr>
          <w:rFonts w:ascii="Times New Roman" w:hAnsi="Times New Roman"/>
          <w:b w:val="false"/>
          <w:i w:val="false"/>
          <w:color w:val="000000"/>
          <w:sz w:val="22"/>
        </w:rPr>
        <w:t>The department may waive the requirement that an applicant pass a required knowledge test for an applicant who is a current or former military service member as defined in 49 CFR Section 383.5. An applicant for a waiver of the knowledge test under this subrule shall certify and provide evidence, as required by the department, that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is regularly employed or was regularly employed within the past year in a military position specifically designated in 49 CFR Section 383.77.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is or was operating a vehicle representative of the commercial motor vehicle the applicant operates or expects to operate immediately preceding honorable separation from military service as evidenced by the applicant’s certificate of release or discharge from active duty, commonly referred to as a DD form 214.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has not had more than one driver’s license, other than a military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has not had any driver’s license suspended, revoked, or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has not been convicted of an offense committed while operating any type of motor vehicle that is listed as a disqualifying offense in 49 CFR Section 383.51(b).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applicant has not had more than one conviction for an offense committed while operating any type of motor vehicle that is listed as a serious traffic violation in 49 CFR Section 383.51(c).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applicant has not had a conviction for violation of a military, state, or local law relating to motor vehicle traffic control, other than a parking violation, arising in connection with any traffic accident, and has no record of an accident in which the applicant was at fault.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607.27(6)</w:t>
      </w:r>
      <w:r>
        <w:rPr>
          <w:rFonts w:ascii="Times New Roman" w:hAnsi="Times New Roman"/>
          <w:b w:val="false"/>
          <w:i w:val="false"/>
          <w:color w:val="000000"/>
          <w:sz w:val="22"/>
        </w:rPr>
        <w:t> </w:t>
      </w:r>
      <w:r>
        <w:rPr>
          <w:rFonts w:ascii="Times New Roman" w:hAnsi="Times New Roman"/>
          <w:b w:val="false"/>
          <w:i/>
          <w:color w:val="000000"/>
          <w:sz w:val="22"/>
        </w:rPr>
        <w:t xml:space="preserve">Requirement. </w:t>
      </w:r>
      <w:r>
        <w:rPr>
          <w:rFonts w:ascii="Times New Roman" w:hAnsi="Times New Roman"/>
          <w:b w:val="false"/>
          <w:i w:val="false"/>
          <w:color w:val="000000"/>
          <w:sz w:val="22"/>
        </w:rPr>
        <w:t>An applicant must pass the applicable knowledge test(s) before taking the skills test. Passing scores for a knowledge test shall meet the standards contained in 49 CFR Section 383.135(a).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7">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and </w:t>
      </w:r>
      <w:hyperlink r:id="rId98">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2071C</w:t>
      </w:r>
      <w:r>
        <w:rPr>
          <w:rFonts w:ascii="Times New Roman" w:hAnsi="Times New Roman"/>
          <w:b w:val="false"/>
          <w:i w:val="false"/>
          <w:color w:val="000000"/>
          <w:sz w:val="16"/>
        </w:rPr>
        <w:t>, IAB 8/5/15, effective 7/14/15</w:t>
      </w:r>
      <w:r>
        <w:rPr>
          <w:rFonts w:ascii="Times New Roman" w:hAnsi="Times New Roman"/>
          <w:b w:val="false"/>
          <w:i w:val="false"/>
          <w:color w:val="000000"/>
          <w:sz w:val="16"/>
        </w:rPr>
        <w:t xml:space="preserve">; </w:t>
      </w:r>
      <w:r>
        <w:rPr>
          <w:rFonts w:ascii="Times New Roman" w:hAnsi="Times New Roman"/>
          <w:b/>
          <w:i w:val="false"/>
          <w:color w:val="000000"/>
          <w:sz w:val="16"/>
        </w:rPr>
        <w:t>ARC 2337C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 xml:space="preserve">; </w:t>
      </w:r>
      <w:r>
        <w:rPr>
          <w:rFonts w:ascii="Times New Roman" w:hAnsi="Times New Roman"/>
          <w:b/>
          <w:i w:val="false"/>
          <w:color w:val="000000"/>
          <w:sz w:val="16"/>
        </w:rPr>
        <w:t>ARC 2530C</w:t>
      </w:r>
      <w:r>
        <w:rPr>
          <w:rFonts w:ascii="Times New Roman" w:hAnsi="Times New Roman"/>
          <w:b w:val="false"/>
          <w:i w:val="false"/>
          <w:color w:val="000000"/>
          <w:sz w:val="16"/>
        </w:rPr>
        <w:t>, IAB 5/11/16, effective 6/15/16</w:t>
      </w:r>
      <w:r>
        <w:rPr>
          <w:rFonts w:ascii="Times New Roman" w:hAnsi="Times New Roman"/>
          <w:b w:val="false"/>
          <w:i w:val="false"/>
          <w:color w:val="000000"/>
          <w:sz w:val="16"/>
        </w:rPr>
        <w:t xml:space="preserve">; </w:t>
      </w:r>
      <w:r>
        <w:rPr>
          <w:rFonts w:ascii="Times New Roman" w:hAnsi="Times New Roman"/>
          <w:b/>
          <w:i w:val="false"/>
          <w:color w:val="000000"/>
          <w:sz w:val="16"/>
        </w:rPr>
        <w:t>ARC 4986C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761—607.28</w:t>
      </w:r>
      <w:r>
        <w:rPr>
          <w:rFonts w:ascii="Times New Roman" w:hAnsi="Times New Roman"/>
          <w:b/>
          <w:i w:val="false"/>
          <w:color w:val="000000"/>
          <w:sz w:val="22"/>
        </w:rPr>
        <w:t xml:space="preserve">(321) </w:t>
      </w:r>
      <w:r>
        <w:rPr>
          <w:rFonts w:ascii="Times New Roman" w:hAnsi="Times New Roman"/>
          <w:b/>
          <w:i w:val="false"/>
          <w:color w:val="000000"/>
          <w:sz w:val="22"/>
        </w:rPr>
        <w:t xml:space="preserve">Skills test.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607.28(1)</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The skills test for a commercial driver’s license is a three-part test as required in 49 CFR Part 383, Subparts E, G and 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607.28(2)</w:t>
      </w:r>
      <w:r>
        <w:rPr>
          <w:rFonts w:ascii="Times New Roman" w:hAnsi="Times New Roman"/>
          <w:b w:val="false"/>
          <w:i w:val="false"/>
          <w:color w:val="000000"/>
          <w:sz w:val="22"/>
        </w:rPr>
        <w:t> </w:t>
      </w:r>
      <w:r>
        <w:rPr>
          <w:rFonts w:ascii="Times New Roman" w:hAnsi="Times New Roman"/>
          <w:b w:val="false"/>
          <w:i/>
          <w:color w:val="000000"/>
          <w:sz w:val="22"/>
        </w:rPr>
        <w:t xml:space="preserve">Test methods. </w:t>
      </w:r>
      <w:r>
        <w:rPr>
          <w:rFonts w:ascii="Times New Roman" w:hAnsi="Times New Roman"/>
          <w:b w:val="false"/>
          <w:i w:val="false"/>
          <w:color w:val="000000"/>
          <w:sz w:val="22"/>
        </w:rPr>
        <w:t>All skills tests shall be administered in compliance with 49 CFR Section 383.133(c). Interpreters are prohibited during the administration of skills tests. Applicants must be able to understand and respond to verbal commands and instructions in English by a skills test examiner. Neither the applicant nor the examiner may communicate in a language other than English during the skills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607.28(3)</w:t>
      </w:r>
      <w:r>
        <w:rPr>
          <w:rFonts w:ascii="Times New Roman" w:hAnsi="Times New Roman"/>
          <w:b w:val="false"/>
          <w:i w:val="false"/>
          <w:color w:val="000000"/>
          <w:sz w:val="22"/>
        </w:rPr>
        <w:t> </w:t>
      </w:r>
      <w:r>
        <w:rPr>
          <w:rFonts w:ascii="Times New Roman" w:hAnsi="Times New Roman"/>
          <w:b w:val="false"/>
          <w:i/>
          <w:color w:val="000000"/>
          <w:sz w:val="22"/>
        </w:rPr>
        <w:t xml:space="preserve">Order. </w:t>
      </w:r>
      <w:r>
        <w:rPr>
          <w:rFonts w:ascii="Times New Roman" w:hAnsi="Times New Roman"/>
          <w:b w:val="false"/>
          <w:i w:val="false"/>
          <w:color w:val="000000"/>
          <w:sz w:val="22"/>
        </w:rPr>
        <w:t xml:space="preserve">The skills test must be administered and successfully completed in the following order: pre-trip inspection, basic vehicle control skills, on-road skills. If an applicant fails one segment of the skills test, the applicant cannot continue to the next segment of the test, and scores for the passed segments of the test are only valid during initial issuance of the commercial learner’s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607.28(4)</w:t>
      </w:r>
      <w:r>
        <w:rPr>
          <w:rFonts w:ascii="Times New Roman" w:hAnsi="Times New Roman"/>
          <w:b w:val="false"/>
          <w:i w:val="false"/>
          <w:color w:val="000000"/>
          <w:sz w:val="22"/>
        </w:rPr>
        <w:t> </w:t>
      </w:r>
      <w:r>
        <w:rPr>
          <w:rFonts w:ascii="Times New Roman" w:hAnsi="Times New Roman"/>
          <w:b w:val="false"/>
          <w:i/>
          <w:color w:val="000000"/>
          <w:sz w:val="22"/>
        </w:rPr>
        <w:t xml:space="preserve">Vehicle. </w:t>
      </w:r>
      <w:r>
        <w:rPr>
          <w:rFonts w:ascii="Times New Roman" w:hAnsi="Times New Roman"/>
          <w:b w:val="false"/>
          <w:i w:val="false"/>
          <w:color w:val="000000"/>
          <w:sz w:val="22"/>
        </w:rPr>
        <w:t>The applicant shall provide a representative vehicle for the skills test. “Representative vehicle” means a commercial motor vehicle that meets the statutory description for the class of license applied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obtain a passenger vehicle endorsement applicable to a specific vehicle class, the applicant must take the skills test in a passenger vehicle, as defined in rule </w:t>
      </w:r>
      <w:hyperlink r:id="rId99">
        <w:r>
          <w:rPr>
            <w:rStyle w:val="Hyperlink"/>
            <w:rFonts w:ascii="Times New Roman" w:hAnsi="Times New Roman"/>
            <w:b w:val="false"/>
            <w:i w:val="false"/>
            <w:color w:val="000000"/>
            <w:sz w:val="22"/>
          </w:rPr>
          <w:t>761—607.3</w:t>
        </w:r>
      </w:hyperlink>
      <w:r>
        <w:rPr>
          <w:rFonts w:ascii="Times New Roman" w:hAnsi="Times New Roman"/>
          <w:b w:val="false"/>
          <w:i w:val="false"/>
          <w:color w:val="000000"/>
          <w:sz w:val="22"/>
        </w:rPr>
        <w:t>(321), satisfying the requirements of that class, as required in 49 CFR Section 383.117.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 obtain a school bus endorsement, the applicant must qualify for a passenger vehicle endorsement and take the skills test in a school bus, as defined in rule </w:t>
      </w:r>
      <w:hyperlink r:id="rId100">
        <w:r>
          <w:rPr>
            <w:rStyle w:val="Hyperlink"/>
            <w:rFonts w:ascii="Times New Roman" w:hAnsi="Times New Roman"/>
            <w:b w:val="false"/>
            <w:i w:val="false"/>
            <w:color w:val="000000"/>
            <w:sz w:val="22"/>
          </w:rPr>
          <w:t>761—607.3</w:t>
        </w:r>
      </w:hyperlink>
      <w:r>
        <w:rPr>
          <w:rFonts w:ascii="Times New Roman" w:hAnsi="Times New Roman"/>
          <w:b w:val="false"/>
          <w:i w:val="false"/>
          <w:color w:val="000000"/>
          <w:sz w:val="22"/>
        </w:rPr>
        <w:t xml:space="preserve">(321), in the same vehicle class as the applicant will drive, as required in 49 CFR Section 383.123.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obtain a tank endorsement, the applicant must take the skills test in a representative vehicle for the class of license applied for, but the representative vehicle is not required to be a tank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To remove an air brake or full air brake restriction, the applicant must take the skills test in a vehicle equipped with an air brake system, as defined in rule </w:t>
      </w:r>
      <w:hyperlink r:id="rId101">
        <w:r>
          <w:rPr>
            <w:rStyle w:val="Hyperlink"/>
            <w:rFonts w:ascii="Times New Roman" w:hAnsi="Times New Roman"/>
            <w:b w:val="false"/>
            <w:i w:val="false"/>
            <w:color w:val="000000"/>
            <w:sz w:val="22"/>
          </w:rPr>
          <w:t>761—607.3</w:t>
        </w:r>
      </w:hyperlink>
      <w:r>
        <w:rPr>
          <w:rFonts w:ascii="Times New Roman" w:hAnsi="Times New Roman"/>
          <w:b w:val="false"/>
          <w:i w:val="false"/>
          <w:color w:val="000000"/>
          <w:sz w:val="22"/>
        </w:rPr>
        <w:t>(321) and as required in 49 CFR Section 383.113.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To remove a manual transmission restriction, the applicant must take the on-road segment of the skills test in a vehicle equipped with a manual transmission, as defined in rule </w:t>
      </w:r>
      <w:hyperlink r:id="rId102">
        <w:r>
          <w:rPr>
            <w:rStyle w:val="Hyperlink"/>
            <w:rFonts w:ascii="Times New Roman" w:hAnsi="Times New Roman"/>
            <w:b w:val="false"/>
            <w:i w:val="false"/>
            <w:color w:val="000000"/>
            <w:sz w:val="22"/>
          </w:rPr>
          <w:t>761—607.3</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607.28(5)</w:t>
      </w:r>
      <w:r>
        <w:rPr>
          <w:rFonts w:ascii="Times New Roman" w:hAnsi="Times New Roman"/>
          <w:b w:val="false"/>
          <w:i w:val="false"/>
          <w:color w:val="000000"/>
          <w:sz w:val="22"/>
        </w:rPr>
        <w:t> </w:t>
      </w:r>
      <w:r>
        <w:rPr>
          <w:rFonts w:ascii="Times New Roman" w:hAnsi="Times New Roman"/>
          <w:b w:val="false"/>
          <w:i/>
          <w:color w:val="000000"/>
          <w:sz w:val="22"/>
        </w:rPr>
        <w:t xml:space="preserve">Skills test scoring. </w:t>
      </w:r>
      <w:r>
        <w:rPr>
          <w:rFonts w:ascii="Times New Roman" w:hAnsi="Times New Roman"/>
          <w:b w:val="false"/>
          <w:i w:val="false"/>
          <w:color w:val="000000"/>
          <w:sz w:val="22"/>
        </w:rPr>
        <w:t>Passing scores for a skills test shall meet the standards contained in 49 CFR Section 383.135(b).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607.28(6)</w:t>
      </w:r>
      <w:r>
        <w:rPr>
          <w:rFonts w:ascii="Times New Roman" w:hAnsi="Times New Roman"/>
          <w:b w:val="false"/>
          <w:i w:val="false"/>
          <w:color w:val="000000"/>
          <w:sz w:val="22"/>
        </w:rPr>
        <w:t> </w:t>
      </w:r>
      <w:r>
        <w:rPr>
          <w:rFonts w:ascii="Times New Roman" w:hAnsi="Times New Roman"/>
          <w:b w:val="false"/>
          <w:i/>
          <w:color w:val="000000"/>
          <w:sz w:val="22"/>
        </w:rPr>
        <w:t xml:space="preserve">Military waiver. </w:t>
      </w:r>
      <w:r>
        <w:rPr>
          <w:rFonts w:ascii="Times New Roman" w:hAnsi="Times New Roman"/>
          <w:b w:val="false"/>
          <w:i w:val="false"/>
          <w:color w:val="000000"/>
          <w:sz w:val="22"/>
        </w:rPr>
        <w:t xml:space="preserve">The department may waive the requirement that an applicant pass a required skills test for an applicant who is on active duty in the military service or who has separated from such service in the past year, provided the applicant meets the requirements of Iowa Code subsection </w:t>
      </w:r>
      <w:hyperlink r:id="rId103">
        <w:r>
          <w:rPr>
            <w:rStyle w:val="Hyperlink"/>
            <w:rFonts w:ascii="Times New Roman" w:hAnsi="Times New Roman"/>
            <w:b w:val="false"/>
            <w:i w:val="false"/>
            <w:color w:val="000000"/>
            <w:sz w:val="22"/>
          </w:rPr>
          <w:t>321.188(6)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607.28(7)</w:t>
      </w:r>
      <w:r>
        <w:rPr>
          <w:rFonts w:ascii="Times New Roman" w:hAnsi="Times New Roman"/>
          <w:b w:val="false"/>
          <w:i w:val="false"/>
          <w:color w:val="000000"/>
          <w:sz w:val="22"/>
        </w:rPr>
        <w:t> </w:t>
      </w:r>
      <w:r>
        <w:rPr>
          <w:rFonts w:ascii="Times New Roman" w:hAnsi="Times New Roman"/>
          <w:b w:val="false"/>
          <w:i/>
          <w:color w:val="000000"/>
          <w:sz w:val="22"/>
        </w:rPr>
        <w:t xml:space="preserve">Locations. </w:t>
      </w:r>
      <w:r>
        <w:rPr>
          <w:rFonts w:ascii="Times New Roman" w:hAnsi="Times New Roman"/>
          <w:b w:val="false"/>
          <w:i w:val="false"/>
          <w:color w:val="000000"/>
          <w:sz w:val="22"/>
        </w:rPr>
        <w:t xml:space="preserve">The skills test for a commercial driver’s license shall be given only at specified locations where adequate testing facilities are available. An applicant may contact any driver’s license service center for the location of the nearest skills testing center.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607.28(8)</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Fees authorized pursuant to Iowa Code sections 321.187A and 321M.6A will be collected by the department or a county treasurer location offering commercial driver’s license skills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104">
        <w:r>
          <w:rPr>
            <w:rStyle w:val="Hyperlink"/>
            <w:rFonts w:ascii="Times New Roman" w:hAnsi="Times New Roman"/>
            <w:b w:val="false"/>
            <w:i w:val="false"/>
            <w:color w:val="000000"/>
            <w:sz w:val="22"/>
          </w:rPr>
          <w:t>paragraph 607.28(8)</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fee for an applicant to schedule the pre-trip vehicle inspection segment of the skills test with the department is $25. No fees are due to the department for scheduling the basic vehicle control skills or on-road skills segment of the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105">
        <w:r>
          <w:rPr>
            <w:rStyle w:val="Hyperlink"/>
            <w:rFonts w:ascii="Times New Roman" w:hAnsi="Times New Roman"/>
            <w:b w:val="false"/>
            <w:i w:val="false"/>
            <w:color w:val="000000"/>
            <w:sz w:val="22"/>
          </w:rPr>
          <w:t>paragraph 607.28(8)</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fee to schedule the pre-trip vehicle inspection segment of the skills test with a county treasurer is $25. The fee for a county treasurer to administer the basic vehicle control skills segment is $25, and the fee to administer the on-road skills segment of the test is $25. However, if the applicant fails one segment of the driving skills test, no fee shall be due for a subsequent segment of the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is an employee or volunteer of a government agency as defined in Iowa Code section </w:t>
      </w:r>
      <w:hyperlink r:id="rId106">
        <w:r>
          <w:rPr>
            <w:rStyle w:val="Hyperlink"/>
            <w:rFonts w:ascii="Times New Roman" w:hAnsi="Times New Roman"/>
            <w:b w:val="false"/>
            <w:i w:val="false"/>
            <w:color w:val="000000"/>
            <w:sz w:val="22"/>
          </w:rPr>
          <w:t>553.3</w:t>
        </w:r>
      </w:hyperlink>
      <w:r>
        <w:rPr>
          <w:rFonts w:ascii="Times New Roman" w:hAnsi="Times New Roman"/>
          <w:b w:val="false"/>
          <w:i w:val="false"/>
          <w:color w:val="000000"/>
          <w:sz w:val="22"/>
        </w:rPr>
        <w:t>,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 The department shall not charge the pre-trip inspection scheduling fee under </w:t>
      </w:r>
      <w:hyperlink r:id="rId107">
        <w:r>
          <w:rPr>
            <w:rStyle w:val="Hyperlink"/>
            <w:rFonts w:ascii="Times New Roman" w:hAnsi="Times New Roman"/>
            <w:b w:val="false"/>
            <w:i w:val="false"/>
            <w:color w:val="000000"/>
            <w:sz w:val="22"/>
          </w:rPr>
          <w:t>paragraph 607.28(8)</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county treasurer may charge only the pre-trip inspection fee under </w:t>
      </w:r>
      <w:hyperlink r:id="rId108">
        <w:r>
          <w:rPr>
            <w:rStyle w:val="Hyperlink"/>
            <w:rFonts w:ascii="Times New Roman" w:hAnsi="Times New Roman"/>
            <w:b w:val="false"/>
            <w:i w:val="false"/>
            <w:color w:val="000000"/>
            <w:sz w:val="22"/>
          </w:rPr>
          <w:t>paragraph 607.28(8)</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applicant must provide the department or county treasurer with reasonable proof that the applicant is an employee or volunteer of a qualifying government agency and that a commercial driver’s license is necessary for the applicant’s employment or volunteer duties. Reasonable proof shall be provided on Form 430311. Alternatively, if the applicant is seeking a skills test from a county treasurer, reasonable proof may include payment of the pre-trip inspection fee by a government agency on behalf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an applicant fails to appear for the pre-trip inspection segment of the skills test, the appointment shall be canceled and no other applicable fees are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109">
        <w:r>
          <w:rPr>
            <w:rStyle w:val="Hyperlink"/>
            <w:rFonts w:ascii="Times New Roman" w:hAnsi="Times New Roman"/>
            <w:b w:val="false"/>
            <w:i w:val="false"/>
            <w:color w:val="000000"/>
            <w:sz w:val="22"/>
          </w:rPr>
          <w:t>paragraph 607.28(8)</w:t>
        </w:r>
      </w:hyperlink>
      <w:r>
        <w:rPr>
          <w:rFonts w:ascii="Times New Roman" w:hAnsi="Times New Roman"/>
          <w:b w:val="false"/>
          <w:i/>
          <w:color w:val="000000"/>
          <w:sz w:val="22"/>
        </w:rPr>
        <w:t>“g,”</w:t>
      </w:r>
      <w:r>
        <w:rPr>
          <w:rFonts w:ascii="Times New Roman" w:hAnsi="Times New Roman"/>
          <w:b w:val="false"/>
          <w:i w:val="false"/>
          <w:color w:val="000000"/>
          <w:sz w:val="22"/>
        </w:rPr>
        <w:t xml:space="preserve"> new fees will apply if an applicant schedules a new skills test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or a county treasurer may collect any fees due and owed for the skills test at the same time any fees are collected as part of the commercial driver’s license issuance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fees collected under this subrule are nonrefundable. However, nothing in this paragraph shall be construed as preventing the department or a county treasurer from transferring a fee charged for a pre-trip inspection to a new pre-trip inspection if rescheduling the appointment is determined necessary or appropriate as determined by the department or county treasurer upon a showing of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skills test fee charged under this subrule that remains unpaid may be collected at the person’s next driver’s license renewal or replacement.</w:t>
      </w:r>
    </w:p>
    <w:p>
      <w:pPr>
        <w:spacing w:before="0" w:after="0"/>
        <w:ind w:left="120"/>
        <w:jc w:val="both"/>
      </w:pPr>
      <w:r>
        <w:rPr>
          <w:rFonts w:ascii="Times New Roman" w:hAnsi="Times New Roman"/>
          <w:b w:val="false"/>
          <w:i w:val="false"/>
          <w:color w:val="000000"/>
          <w:sz w:val="22"/>
        </w:rPr>
        <w:t>This rule is intended to implement Iowa Code sections </w:t>
      </w:r>
      <w:hyperlink r:id="rId110">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w:t>
      </w:r>
      <w:hyperlink r:id="rId111">
        <w:r>
          <w:rPr>
            <w:rStyle w:val="Hyperlink"/>
            <w:rFonts w:ascii="Times New Roman" w:hAnsi="Times New Roman"/>
            <w:b w:val="false"/>
            <w:i w:val="false"/>
            <w:color w:val="000000"/>
            <w:sz w:val="22"/>
          </w:rPr>
          <w:t>321.187A</w:t>
        </w:r>
      </w:hyperlink>
      <w:r>
        <w:rPr>
          <w:rFonts w:ascii="Times New Roman" w:hAnsi="Times New Roman"/>
          <w:b w:val="false"/>
          <w:i w:val="false"/>
          <w:color w:val="000000"/>
          <w:sz w:val="22"/>
        </w:rPr>
        <w:t>,  </w:t>
      </w:r>
      <w:hyperlink r:id="rId112">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and </w:t>
      </w:r>
      <w:hyperlink r:id="rId113">
        <w:r>
          <w:rPr>
            <w:rStyle w:val="Hyperlink"/>
            <w:rFonts w:ascii="Times New Roman" w:hAnsi="Times New Roman"/>
            <w:b w:val="false"/>
            <w:i w:val="false"/>
            <w:color w:val="000000"/>
            <w:sz w:val="22"/>
          </w:rPr>
          <w:t>321M.6A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2071C</w:t>
      </w:r>
      <w:r>
        <w:rPr>
          <w:rFonts w:ascii="Times New Roman" w:hAnsi="Times New Roman"/>
          <w:b w:val="false"/>
          <w:i w:val="false"/>
          <w:color w:val="000000"/>
          <w:sz w:val="16"/>
        </w:rPr>
        <w:t>, IAB 8/5/15, effective 7/14/15</w:t>
      </w:r>
      <w:r>
        <w:rPr>
          <w:rFonts w:ascii="Times New Roman" w:hAnsi="Times New Roman"/>
          <w:b w:val="false"/>
          <w:i w:val="false"/>
          <w:color w:val="000000"/>
          <w:sz w:val="16"/>
        </w:rPr>
        <w:t xml:space="preserve">; </w:t>
      </w:r>
      <w:r>
        <w:rPr>
          <w:rFonts w:ascii="Times New Roman" w:hAnsi="Times New Roman"/>
          <w:b/>
          <w:i w:val="false"/>
          <w:color w:val="000000"/>
          <w:sz w:val="16"/>
        </w:rPr>
        <w:t>ARC 2337C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 xml:space="preserve">; </w:t>
      </w:r>
      <w:r>
        <w:rPr>
          <w:rFonts w:ascii="Times New Roman" w:hAnsi="Times New Roman"/>
          <w:b/>
          <w:i w:val="false"/>
          <w:color w:val="000000"/>
          <w:sz w:val="16"/>
        </w:rPr>
        <w:t>ARC 2530C</w:t>
      </w:r>
      <w:r>
        <w:rPr>
          <w:rFonts w:ascii="Times New Roman" w:hAnsi="Times New Roman"/>
          <w:b w:val="false"/>
          <w:i w:val="false"/>
          <w:color w:val="000000"/>
          <w:sz w:val="16"/>
        </w:rPr>
        <w:t>, IAB 5/11/16, effective 6/15/16</w:t>
      </w:r>
      <w:r>
        <w:rPr>
          <w:rFonts w:ascii="Times New Roman" w:hAnsi="Times New Roman"/>
          <w:b w:val="false"/>
          <w:i w:val="false"/>
          <w:color w:val="000000"/>
          <w:sz w:val="16"/>
        </w:rPr>
        <w:t xml:space="preserve">; </w:t>
      </w:r>
      <w:r>
        <w:rPr>
          <w:rFonts w:ascii="Times New Roman" w:hAnsi="Times New Roman"/>
          <w:b/>
          <w:i w:val="false"/>
          <w:color w:val="000000"/>
          <w:sz w:val="16"/>
        </w:rPr>
        <w:t>ARC 3689C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i w:val="false"/>
          <w:color w:val="000000"/>
          <w:sz w:val="16"/>
        </w:rPr>
        <w:t>ARC 4986C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5547C</w:t>
      </w:r>
      <w:r>
        <w:rPr>
          <w:rFonts w:ascii="Times New Roman" w:hAnsi="Times New Roman"/>
          <w:b w:val="false"/>
          <w:i w:val="false"/>
          <w:color w:val="000000"/>
          <w:sz w:val="16"/>
        </w:rPr>
        <w:t>, IAB 4/7/21, effective 5/12/21</w:t>
      </w:r>
      <w:r>
        <w:rPr>
          <w:rFonts w:ascii="Times New Roman" w:hAnsi="Times New Roman"/>
          <w:b w:val="false"/>
          <w:i w:val="false"/>
          <w:color w:val="000000"/>
          <w:sz w:val="16"/>
        </w:rPr>
        <w:t xml:space="preserve">; </w:t>
      </w:r>
      <w:r>
        <w:rPr>
          <w:rFonts w:ascii="Times New Roman" w:hAnsi="Times New Roman"/>
          <w:b/>
          <w:i w:val="false"/>
          <w:color w:val="000000"/>
          <w:sz w:val="16"/>
        </w:rPr>
        <w:t>ARC 6168C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761—607.29</w:t>
      </w:r>
      <w:r>
        <w:rPr>
          <w:rFonts w:ascii="Times New Roman" w:hAnsi="Times New Roman"/>
          <w:b/>
          <w:i w:val="false"/>
          <w:color w:val="000000"/>
          <w:sz w:val="22"/>
        </w:rPr>
        <w:t xml:space="preserve">(321) </w:t>
      </w:r>
      <w:r>
        <w:rPr>
          <w:rFonts w:ascii="Times New Roman" w:hAnsi="Times New Roman"/>
          <w:b/>
          <w:i w:val="false"/>
          <w:color w:val="000000"/>
          <w:sz w:val="22"/>
        </w:rPr>
        <w:t xml:space="preserve">Waiver of skills test.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6/23/93</w:t>
      </w:r>
      <w:r>
        <w:rPr>
          <w:rFonts w:ascii="Times New Roman" w:hAnsi="Times New Roman"/>
          <w:b w:val="false"/>
          <w:i w:val="false"/>
          <w:color w:val="000000"/>
          <w:sz w:val="22"/>
        </w:rPr>
        <w:t>, effective 7/28/93.</w:t>
      </w:r>
    </w:p>
    <w:p>
      <w:pPr>
        <w:spacing w:before="0" w:after="0"/>
        <w:ind w:left="120"/>
        <w:jc w:val="both"/>
      </w:pPr>
      <w:r>
        <w:rPr>
          <w:rFonts w:ascii="Times New Roman" w:hAnsi="Times New Roman"/>
          <w:b/>
          <w:i w:val="false"/>
          <w:color w:val="000000"/>
          <w:sz w:val="22"/>
        </w:rPr>
        <w:t>761—607.30</w:t>
      </w:r>
      <w:r>
        <w:rPr>
          <w:rFonts w:ascii="Times New Roman" w:hAnsi="Times New Roman"/>
          <w:b/>
          <w:i w:val="false"/>
          <w:color w:val="000000"/>
          <w:sz w:val="22"/>
        </w:rPr>
        <w:t xml:space="preserve">(321) </w:t>
      </w:r>
      <w:r>
        <w:rPr>
          <w:rFonts w:ascii="Times New Roman" w:hAnsi="Times New Roman"/>
          <w:b/>
          <w:i w:val="false"/>
          <w:color w:val="000000"/>
          <w:sz w:val="22"/>
        </w:rPr>
        <w:t xml:space="preserve">Third-party testing.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607.30(1)</w:t>
      </w:r>
      <w:r>
        <w:rPr>
          <w:rFonts w:ascii="Times New Roman" w:hAnsi="Times New Roman"/>
          <w:b w:val="false"/>
          <w:i w:val="false"/>
          <w:color w:val="000000"/>
          <w:sz w:val="22"/>
        </w:rPr>
        <w:t> </w:t>
      </w:r>
      <w:r>
        <w:rPr>
          <w:rFonts w:ascii="Times New Roman" w:hAnsi="Times New Roman"/>
          <w:b w:val="false"/>
          <w:i/>
          <w:color w:val="000000"/>
          <w:sz w:val="22"/>
        </w:rPr>
        <w:t xml:space="preserve">Purpose and definitions. </w:t>
      </w:r>
      <w:r>
        <w:rPr>
          <w:rFonts w:ascii="Times New Roman" w:hAnsi="Times New Roman"/>
          <w:b w:val="false"/>
          <w:i w:val="false"/>
          <w:color w:val="000000"/>
          <w:sz w:val="22"/>
        </w:rPr>
        <w:t xml:space="preserve">The knowledge tests required by rule </w:t>
      </w:r>
      <w:hyperlink r:id="rId114">
        <w:r>
          <w:rPr>
            <w:rStyle w:val="Hyperlink"/>
            <w:rFonts w:ascii="Times New Roman" w:hAnsi="Times New Roman"/>
            <w:b w:val="false"/>
            <w:i w:val="false"/>
            <w:color w:val="000000"/>
            <w:sz w:val="22"/>
          </w:rPr>
          <w:t>761—607.27</w:t>
        </w:r>
      </w:hyperlink>
      <w:r>
        <w:rPr>
          <w:rFonts w:ascii="Times New Roman" w:hAnsi="Times New Roman"/>
          <w:b w:val="false"/>
          <w:i w:val="false"/>
          <w:color w:val="000000"/>
          <w:sz w:val="22"/>
        </w:rPr>
        <w:t xml:space="preserve">(321) and the skills test required by rule </w:t>
      </w:r>
      <w:hyperlink r:id="rId115">
        <w:r>
          <w:rPr>
            <w:rStyle w:val="Hyperlink"/>
            <w:rFonts w:ascii="Times New Roman" w:hAnsi="Times New Roman"/>
            <w:b w:val="false"/>
            <w:i w:val="false"/>
            <w:color w:val="000000"/>
            <w:sz w:val="22"/>
          </w:rPr>
          <w:t>761—607.28</w:t>
        </w:r>
      </w:hyperlink>
      <w:r>
        <w:rPr>
          <w:rFonts w:ascii="Times New Roman" w:hAnsi="Times New Roman"/>
          <w:b w:val="false"/>
          <w:i w:val="false"/>
          <w:color w:val="000000"/>
          <w:sz w:val="22"/>
        </w:rPr>
        <w:t>(321) may be administered by third-party testers and third-party test examiners approved and certified by the department. For the purpose of administering third-party testing and this rule,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“College or university” </w:t>
      </w:r>
      <w:r>
        <w:rPr>
          <w:rFonts w:ascii="Times New Roman" w:hAnsi="Times New Roman"/>
          <w:b w:val="false"/>
          <w:i w:val="false"/>
          <w:color w:val="000000"/>
          <w:sz w:val="22"/>
        </w:rPr>
        <w:t xml:space="preserve">means an Iowa postsecondary school established under Iowa Code chapter </w:t>
      </w:r>
      <w:hyperlink r:id="rId116">
        <w:r>
          <w:rPr>
            <w:rStyle w:val="Hyperlink"/>
            <w:rFonts w:ascii="Times New Roman" w:hAnsi="Times New Roman"/>
            <w:b w:val="false"/>
            <w:i w:val="false"/>
            <w:color w:val="000000"/>
            <w:sz w:val="22"/>
          </w:rPr>
          <w:t>261B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college” </w:t>
      </w:r>
      <w:r>
        <w:rPr>
          <w:rFonts w:ascii="Times New Roman" w:hAnsi="Times New Roman"/>
          <w:b w:val="false"/>
          <w:i w:val="false"/>
          <w:color w:val="000000"/>
          <w:sz w:val="22"/>
        </w:rPr>
        <w:t xml:space="preserve">means an Iowa community college established under Iowa Code chapter </w:t>
      </w:r>
      <w:hyperlink r:id="rId117">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“Government agency” </w:t>
      </w:r>
      <w:r>
        <w:rPr>
          <w:rFonts w:ascii="Times New Roman" w:hAnsi="Times New Roman"/>
          <w:b w:val="false"/>
          <w:i w:val="false"/>
          <w:color w:val="000000"/>
          <w:sz w:val="22"/>
        </w:rPr>
        <w:t xml:space="preserve">means the same as defined in Iowa Code section </w:t>
      </w:r>
      <w:hyperlink r:id="rId118">
        <w:r>
          <w:rPr>
            <w:rStyle w:val="Hyperlink"/>
            <w:rFonts w:ascii="Times New Roman" w:hAnsi="Times New Roman"/>
            <w:b w:val="false"/>
            <w:i w:val="false"/>
            <w:color w:val="000000"/>
            <w:sz w:val="22"/>
          </w:rPr>
          <w:t>553.3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business” </w:t>
      </w:r>
      <w:r>
        <w:rPr>
          <w:rFonts w:ascii="Times New Roman" w:hAnsi="Times New Roman"/>
          <w:b w:val="false"/>
          <w:i w:val="false"/>
          <w:color w:val="000000"/>
          <w:sz w:val="22"/>
        </w:rPr>
        <w:t>means a corporation, association, partnership, company, firm, or other aggregation of individuals that has an established place of business in this state and that is authorized to conduct business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“Knowledge test” </w:t>
      </w:r>
      <w:r>
        <w:rPr>
          <w:rFonts w:ascii="Times New Roman" w:hAnsi="Times New Roman"/>
          <w:b w:val="false"/>
          <w:i w:val="false"/>
          <w:color w:val="000000"/>
          <w:sz w:val="22"/>
        </w:rPr>
        <w:t xml:space="preserve">means the knowledge tests required by rule </w:t>
      </w:r>
      <w:hyperlink r:id="rId119">
        <w:r>
          <w:rPr>
            <w:rStyle w:val="Hyperlink"/>
            <w:rFonts w:ascii="Times New Roman" w:hAnsi="Times New Roman"/>
            <w:b w:val="false"/>
            <w:i w:val="false"/>
            <w:color w:val="000000"/>
            <w:sz w:val="22"/>
          </w:rPr>
          <w:t>761—607.27</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“Motor carrier” </w:t>
      </w:r>
      <w:r>
        <w:rPr>
          <w:rFonts w:ascii="Times New Roman" w:hAnsi="Times New Roman"/>
          <w:b w:val="false"/>
          <w:i w:val="false"/>
          <w:color w:val="000000"/>
          <w:sz w:val="22"/>
        </w:rPr>
        <w:t>means the same as defined in 49 CFR Section 390.5.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“Nonprofit” </w:t>
      </w:r>
      <w:r>
        <w:rPr>
          <w:rFonts w:ascii="Times New Roman" w:hAnsi="Times New Roman"/>
          <w:b w:val="false"/>
          <w:i w:val="false"/>
          <w:color w:val="000000"/>
          <w:sz w:val="22"/>
        </w:rPr>
        <w:t xml:space="preserve">means a corporation or association that satisfies the requirements under Iowa Code chapter </w:t>
      </w:r>
      <w:hyperlink r:id="rId120">
        <w:r>
          <w:rPr>
            <w:rStyle w:val="Hyperlink"/>
            <w:rFonts w:ascii="Times New Roman" w:hAnsi="Times New Roman"/>
            <w:b w:val="false"/>
            <w:i w:val="false"/>
            <w:color w:val="000000"/>
            <w:sz w:val="22"/>
          </w:rPr>
          <w:t>498</w:t>
        </w:r>
      </w:hyperlink>
      <w:r>
        <w:rPr>
          <w:rFonts w:ascii="Times New Roman" w:hAnsi="Times New Roman"/>
          <w:b w:val="false"/>
          <w:i w:val="false"/>
          <w:color w:val="000000"/>
          <w:sz w:val="22"/>
        </w:rPr>
        <w:t xml:space="preserve"> or </w:t>
      </w:r>
      <w:hyperlink r:id="rId121">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“Permanent commercial driver training facility” </w:t>
      </w:r>
      <w:r>
        <w:rPr>
          <w:rFonts w:ascii="Times New Roman" w:hAnsi="Times New Roman"/>
          <w:b w:val="false"/>
          <w:i w:val="false"/>
          <w:color w:val="000000"/>
          <w:sz w:val="22"/>
        </w:rPr>
        <w:t>means a facility dedicated to a program of commercial driving instruction that is offered to employees or potential employees of the motor carrier as incident to the motor carrier’s commercial operations, that requires at least 40 hours of instruction, and that includes fixed and permanent structures and facilities for the off-road portions of commercial driving instruction, including classroom, pretrip inspection, and basic vehicle control skills. A permanent commercial driver training facility must include a fixed and paved or otherwise hard-surfaced area for basic vehicle control skills testing that is permanently marked and capable of inspection and measurement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transit system” </w:t>
      </w:r>
      <w:r>
        <w:rPr>
          <w:rFonts w:ascii="Times New Roman" w:hAnsi="Times New Roman"/>
          <w:b w:val="false"/>
          <w:i w:val="false"/>
          <w:color w:val="000000"/>
          <w:sz w:val="22"/>
        </w:rPr>
        <w:t xml:space="preserve">means the same as defined in Iowa Code section </w:t>
      </w:r>
      <w:hyperlink r:id="rId122">
        <w:r>
          <w:rPr>
            <w:rStyle w:val="Hyperlink"/>
            <w:rFonts w:ascii="Times New Roman" w:hAnsi="Times New Roman"/>
            <w:b w:val="false"/>
            <w:i w:val="false"/>
            <w:color w:val="000000"/>
            <w:sz w:val="22"/>
          </w:rPr>
          <w:t>324A.1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“Regional transit system” </w:t>
      </w:r>
      <w:r>
        <w:rPr>
          <w:rFonts w:ascii="Times New Roman" w:hAnsi="Times New Roman"/>
          <w:b w:val="false"/>
          <w:i w:val="false"/>
          <w:color w:val="000000"/>
          <w:sz w:val="22"/>
        </w:rPr>
        <w:t xml:space="preserve">means the same as defined in Iowa Code section </w:t>
      </w:r>
      <w:hyperlink r:id="rId123">
        <w:r>
          <w:rPr>
            <w:rStyle w:val="Hyperlink"/>
            <w:rFonts w:ascii="Times New Roman" w:hAnsi="Times New Roman"/>
            <w:b w:val="false"/>
            <w:i w:val="false"/>
            <w:color w:val="000000"/>
            <w:sz w:val="22"/>
          </w:rPr>
          <w:t>324A.1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“Skills test” </w:t>
      </w:r>
      <w:r>
        <w:rPr>
          <w:rFonts w:ascii="Times New Roman" w:hAnsi="Times New Roman"/>
          <w:b w:val="false"/>
          <w:i w:val="false"/>
          <w:color w:val="000000"/>
          <w:sz w:val="22"/>
        </w:rPr>
        <w:t xml:space="preserve">means the skills test required by rule </w:t>
      </w:r>
      <w:hyperlink r:id="rId124">
        <w:r>
          <w:rPr>
            <w:rStyle w:val="Hyperlink"/>
            <w:rFonts w:ascii="Times New Roman" w:hAnsi="Times New Roman"/>
            <w:b w:val="false"/>
            <w:i w:val="false"/>
            <w:color w:val="000000"/>
            <w:sz w:val="22"/>
          </w:rPr>
          <w:t>761—607.28</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“Subsidiary” </w:t>
      </w:r>
      <w:r>
        <w:rPr>
          <w:rFonts w:ascii="Times New Roman" w:hAnsi="Times New Roman"/>
          <w:b w:val="false"/>
          <w:i w:val="false"/>
          <w:color w:val="000000"/>
          <w:sz w:val="22"/>
        </w:rPr>
        <w:t>means a company that is partly or wholly owned by a motor carrier that holds a controlling interest in the subsidiary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“Third-party test examiner” </w:t>
      </w:r>
      <w:r>
        <w:rPr>
          <w:rFonts w:ascii="Times New Roman" w:hAnsi="Times New Roman"/>
          <w:b w:val="false"/>
          <w:i w:val="false"/>
          <w:color w:val="000000"/>
          <w:sz w:val="22"/>
        </w:rPr>
        <w:t xml:space="preserve">means the same as defined in Iowa Code section </w:t>
      </w:r>
      <w:hyperlink r:id="rId125">
        <w:r>
          <w:rPr>
            <w:rStyle w:val="Hyperlink"/>
            <w:rFonts w:ascii="Times New Roman" w:hAnsi="Times New Roman"/>
            <w:b w:val="false"/>
            <w:i w:val="false"/>
            <w:color w:val="000000"/>
            <w:sz w:val="22"/>
          </w:rPr>
          <w:t>321.187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“Third-party tester” </w:t>
      </w:r>
      <w:r>
        <w:rPr>
          <w:rFonts w:ascii="Times New Roman" w:hAnsi="Times New Roman"/>
          <w:b w:val="false"/>
          <w:i w:val="false"/>
          <w:color w:val="000000"/>
          <w:sz w:val="22"/>
        </w:rPr>
        <w:t xml:space="preserve">means the same as defined in Iowa Code section </w:t>
      </w:r>
      <w:hyperlink r:id="rId126">
        <w:r>
          <w:rPr>
            <w:rStyle w:val="Hyperlink"/>
            <w:rFonts w:ascii="Times New Roman" w:hAnsi="Times New Roman"/>
            <w:b w:val="false"/>
            <w:i w:val="false"/>
            <w:color w:val="000000"/>
            <w:sz w:val="22"/>
          </w:rPr>
          <w:t>321.187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607.30(2)</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third-party testers.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certify third-party testers to administer knowledge and skills tests. A third-party tester must be one of the following entities: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college or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government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Iowa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nonprofit.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public transit system or regional transit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entity listed in paragraph </w:t>
      </w:r>
      <w:hyperlink r:id="rId127">
        <w:r>
          <w:rPr>
            <w:rStyle w:val="Hyperlink"/>
            <w:rFonts w:ascii="Times New Roman" w:hAnsi="Times New Roman"/>
            <w:b w:val="false"/>
            <w:i w:val="false"/>
            <w:color w:val="000000"/>
            <w:sz w:val="22"/>
          </w:rPr>
          <w:t>607.30(2)</w:t>
        </w:r>
      </w:hyperlink>
      <w:r>
        <w:rPr>
          <w:rFonts w:ascii="Times New Roman" w:hAnsi="Times New Roman"/>
          <w:b w:val="false"/>
          <w:i/>
          <w:color w:val="000000"/>
          <w:sz w:val="22"/>
        </w:rPr>
        <w:t>“a”</w:t>
      </w:r>
      <w:r>
        <w:rPr>
          <w:rFonts w:ascii="Times New Roman" w:hAnsi="Times New Roman"/>
          <w:b w:val="false"/>
          <w:i w:val="false"/>
          <w:color w:val="000000"/>
          <w:sz w:val="22"/>
        </w:rPr>
        <w:t xml:space="preserve"> that seeks certification as a third-party tester shall contact the motor vehicle division and schedule a review of the proposed testing program, which shall include the proposed testing courses and facilities, information sufficient to identify all proposed third-party test examiners, and any other information necessary to demonstrate compliance with 49 CFR Parts 383 and 384 as amended to October 1, 2023, applicable to knowledge and skills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entity shall be certified to conduct third-party testing unless and until the entity enters an agreement with the department that meets the requirements of 49 CFR Section 383.75 and demonstrates sufficient ability to conduct knowledge and skills tests in a manner that consistently meets the requirements of 49 CFR Part 383, Subpart E, and 49 CFR Part 384, Subpart B, applicable to knowledge and skills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issue a certified third-party tester a certificate of authority that identifies the classes and types of vehicles for which knowledge and skills tests may be administered. The certificate shall be valid for the duration of the agreement executed pursuant to paragraph </w:t>
      </w:r>
      <w:hyperlink r:id="rId128">
        <w:r>
          <w:rPr>
            <w:rStyle w:val="Hyperlink"/>
            <w:rFonts w:ascii="Times New Roman" w:hAnsi="Times New Roman"/>
            <w:b w:val="false"/>
            <w:i w:val="false"/>
            <w:color w:val="000000"/>
            <w:sz w:val="22"/>
          </w:rPr>
          <w:t>607.30(2)</w:t>
        </w:r>
      </w:hyperlink>
      <w:r>
        <w:rPr>
          <w:rFonts w:ascii="Times New Roman" w:hAnsi="Times New Roman"/>
          <w:b w:val="false"/>
          <w:i/>
          <w:color w:val="000000"/>
          <w:sz w:val="22"/>
        </w:rPr>
        <w:t>“c,”</w:t>
      </w:r>
      <w:r>
        <w:rPr>
          <w:rFonts w:ascii="Times New Roman" w:hAnsi="Times New Roman"/>
          <w:b w:val="false"/>
          <w:i w:val="false"/>
          <w:color w:val="000000"/>
          <w:sz w:val="22"/>
        </w:rPr>
        <w:t xml:space="preserve"> unless revoked by the department for engaging in fraudulent activities related to conducting knowledge and skills tests or failing to comply with the requirements, qualifications, and standards of this chapter, the agreement, or 49 CFR Part 383, Subpart E, and 49 CFR Part 384, Subpart B, applicable to knowledge and skills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revoke a certificate of authority issued after July 1, 2023, to a third-party tester if the third-party tester fails to administer a minimum of 50 percent of all knowledge and skills tests given in a calendar year to Iowa applicants. However, the department shall not revoke a certificate of authority of a third-party tester who administers a minimum of 10 percent of all knowledge and skills tests given in a calendar year to Iowa applicants if the remainder of the tests are given to current or prospective employees of the third-party tester. For the purpose of this paragraph, an “Iowa applicant” is defined as an individual who holds a valid commercial learner’s permit, commercial driver’s license, noncommercial driver’s license, or nonoperator identification card issued by the department or who otherwise qualifies as a resident of this state under Iowa Code section </w:t>
      </w:r>
      <w:hyperlink r:id="rId129">
        <w:r>
          <w:rPr>
            <w:rStyle w:val="Hyperlink"/>
            <w:rFonts w:ascii="Times New Roman" w:hAnsi="Times New Roman"/>
            <w:b w:val="false"/>
            <w:i w:val="false"/>
            <w:color w:val="000000"/>
            <w:sz w:val="22"/>
          </w:rPr>
          <w:t>321.1A(1)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607.30(3)</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third-party test examiners.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certified third-party tester shall not employ or otherwise use as a third-party test examiner a person who has not been approved and certified by the department to administer knowledge or skills tests. Each certified third-party tester shall submit for approval the names of all proposed third-party test examiners to the department. The department shall not approve as a third-party test examiner a person who does not meet the requirements, qualifications, and standards of 49 CFR Part 383, Subpart E, and 49 CFR Part 384, Subpart B, applicable to knowledge and skills testing, including but not limited to all required training and examination and a nationwide criminal background check. The criteria for passing the nationwide criminal background check shall include no felony convictions within the last ten years and no convictions involving fraudulent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issue a certificate of authority for each person certified as a third-party test examiner that identifies the certified third-party tester for which the person will administer knowledge or skills tests and the classes and types of vehicles for which the person may administer knowledge or skills tests. The certificate shall be valid for a period of four years from the date of issuance of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revoke the certificate of authority for a third-party test examiner to administer skills tests if the person holding the certificate does not administer skills tests to at least ten different applicants per calendar year; does not successfully complete the refresher training required by 49 CFR Section 384.228 every four years; is involved in fraudulent activities related to conducting knowledge or skills tests; or otherwise fails to comply with and meet the requirements, qualifications and standards of this chapter or 49 CFR Part 383, Subpart E, and 49 CFR Part 384, Subpart B, applicable to knowledge and skills testing. Notwithstanding anything in this paragraph to the contrary, as provided in 49 CFR Section 383.75, if the person does not administer skills tests to at least ten different applicants per calendar year, the certificate will not be revoked for that reason if the person provides proof of completion of the examiner refresher training in 49 CFR Section 384.228 to the department or successfully completes one skills test under the observation of a department examiner.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revoke the certificate of authority for a third-party test examiner to administer knowledge tests if the person holding the certificate does not successfully complete the refresher training required by 49 CFR Section 384.228 every four years, is involved in fraudulent activities related to conducting knowledge or skills tests or otherwise fails to comply with and meet the requirements, qualifications and standards of this chapter or 49 CFR Part 383, Subpart E, and 49 CFR Part 384, Subpart B, applicable to knowledge testing.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third-party test examiner certified by the department to administer skills tests who is also a skills instructor shall not administer a skills test to an applicant who received skills training from that third-party test examiner.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third-party test examiner may only administer CDL tests for the examiner’s primary employer, unless authorized by the department to administer CDL tests for another county or third-party tester.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607.30(4)</w:t>
      </w:r>
      <w:r>
        <w:rPr>
          <w:rFonts w:ascii="Times New Roman" w:hAnsi="Times New Roman"/>
          <w:b w:val="false"/>
          <w:i w:val="false"/>
          <w:color w:val="000000"/>
          <w:sz w:val="22"/>
        </w:rPr>
        <w:t> </w:t>
      </w:r>
      <w:r>
        <w:rPr>
          <w:rFonts w:ascii="Times New Roman" w:hAnsi="Times New Roman"/>
          <w:b w:val="false"/>
          <w:i/>
          <w:color w:val="000000"/>
          <w:sz w:val="22"/>
        </w:rPr>
        <w:t xml:space="preserve">Bond. </w:t>
      </w:r>
      <w:r>
        <w:rPr>
          <w:rFonts w:ascii="Times New Roman" w:hAnsi="Times New Roman"/>
          <w:b w:val="false"/>
          <w:i w:val="false"/>
          <w:color w:val="000000"/>
          <w:sz w:val="22"/>
        </w:rPr>
        <w:t xml:space="preserve">As a condition of certification in accordance with 49 CFR Section 383.75, a third-party tester that is not a government agency as defined in Iowa Code section </w:t>
      </w:r>
      <w:hyperlink r:id="rId130">
        <w:r>
          <w:rPr>
            <w:rStyle w:val="Hyperlink"/>
            <w:rFonts w:ascii="Times New Roman" w:hAnsi="Times New Roman"/>
            <w:b w:val="false"/>
            <w:i w:val="false"/>
            <w:color w:val="000000"/>
            <w:sz w:val="22"/>
          </w:rPr>
          <w:t>553.3</w:t>
        </w:r>
      </w:hyperlink>
      <w:r>
        <w:rPr>
          <w:rFonts w:ascii="Times New Roman" w:hAnsi="Times New Roman"/>
          <w:b w:val="false"/>
          <w:i w:val="false"/>
          <w:color w:val="000000"/>
          <w:sz w:val="22"/>
        </w:rPr>
        <w:t xml:space="preserve"> must maintain a bond in the amount of $50,000 to pay for the retesting of drivers in the event that the third-party tester or one or more of its third-party test examiners are involved in fraudulent activities related to conducting tests of CDL applicants.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607.30(5)</w:t>
      </w:r>
      <w:r>
        <w:rPr>
          <w:rFonts w:ascii="Times New Roman" w:hAnsi="Times New Roman"/>
          <w:b w:val="false"/>
          <w:i w:val="false"/>
          <w:color w:val="000000"/>
          <w:sz w:val="22"/>
        </w:rPr>
        <w:t> </w:t>
      </w:r>
      <w:r>
        <w:rPr>
          <w:rFonts w:ascii="Times New Roman" w:hAnsi="Times New Roman"/>
          <w:b w:val="false"/>
          <w:i/>
          <w:color w:val="000000"/>
          <w:sz w:val="22"/>
        </w:rPr>
        <w:t xml:space="preserve">Training and refresher training for third-party test examiners. </w:t>
      </w:r>
      <w:r>
        <w:rPr>
          <w:rFonts w:ascii="Times New Roman" w:hAnsi="Times New Roman"/>
          <w:b w:val="false"/>
          <w:i w:val="false"/>
          <w:color w:val="000000"/>
          <w:sz w:val="22"/>
        </w:rPr>
        <w:t>All training and refresher training required under this rule shall be provided by the department, in form and content that meet the recommendations of the American Association of Motor Vehicle Administrators’ International Third-Party Examiner/Tester Certification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1">
        <w:r>
          <w:rPr>
            <w:rStyle w:val="Hyperlink"/>
            <w:rFonts w:ascii="Times New Roman" w:hAnsi="Times New Roman"/>
            <w:b w:val="false"/>
            <w:i w:val="false"/>
            <w:color w:val="000000"/>
            <w:sz w:val="22"/>
          </w:rPr>
          <w:t>321.187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2530C</w:t>
      </w:r>
      <w:r>
        <w:rPr>
          <w:rFonts w:ascii="Times New Roman" w:hAnsi="Times New Roman"/>
          <w:b w:val="false"/>
          <w:i w:val="false"/>
          <w:color w:val="000000"/>
          <w:sz w:val="16"/>
        </w:rPr>
        <w:t>, IAB 5/11/16, effective 6/15/16</w:t>
      </w:r>
      <w:r>
        <w:rPr>
          <w:rFonts w:ascii="Times New Roman" w:hAnsi="Times New Roman"/>
          <w:b w:val="false"/>
          <w:i w:val="false"/>
          <w:color w:val="000000"/>
          <w:sz w:val="16"/>
        </w:rPr>
        <w:t xml:space="preserve">; </w:t>
      </w:r>
      <w:r>
        <w:rPr>
          <w:rFonts w:ascii="Times New Roman" w:hAnsi="Times New Roman"/>
          <w:b/>
          <w:i w:val="false"/>
          <w:color w:val="000000"/>
          <w:sz w:val="16"/>
        </w:rPr>
        <w:t>ARC 4986C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6168C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 xml:space="preserve">; </w:t>
      </w:r>
      <w:r>
        <w:rPr>
          <w:rFonts w:ascii="Times New Roman" w:hAnsi="Times New Roman"/>
          <w:b/>
          <w:i w:val="false"/>
          <w:color w:val="000000"/>
          <w:sz w:val="16"/>
        </w:rPr>
        <w:t>ARC 6706C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 xml:space="preserve">; </w:t>
      </w:r>
      <w:r>
        <w:rPr>
          <w:rFonts w:ascii="Times New Roman" w:hAnsi="Times New Roman"/>
          <w:b/>
          <w:i w:val="false"/>
          <w:color w:val="000000"/>
          <w:sz w:val="16"/>
        </w:rPr>
        <w:t>ARC 7747C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761—607.31</w:t>
      </w:r>
      <w:r>
        <w:rPr>
          <w:rFonts w:ascii="Times New Roman" w:hAnsi="Times New Roman"/>
          <w:b/>
          <w:i w:val="false"/>
          <w:color w:val="000000"/>
          <w:sz w:val="22"/>
        </w:rPr>
        <w:t xml:space="preserve">(321) </w:t>
      </w:r>
      <w:r>
        <w:rPr>
          <w:rFonts w:ascii="Times New Roman" w:hAnsi="Times New Roman"/>
          <w:b/>
          <w:i w:val="false"/>
          <w:color w:val="000000"/>
          <w:sz w:val="22"/>
        </w:rPr>
        <w:t xml:space="preserve">Test results.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607.31(1)</w:t>
      </w:r>
      <w:r>
        <w:rPr>
          <w:rFonts w:ascii="Times New Roman" w:hAnsi="Times New Roman"/>
          <w:b w:val="false"/>
          <w:i w:val="false"/>
          <w:color w:val="000000"/>
          <w:sz w:val="22"/>
        </w:rPr>
        <w:t> </w:t>
      </w:r>
      <w:r>
        <w:rPr>
          <w:rFonts w:ascii="Times New Roman" w:hAnsi="Times New Roman"/>
          <w:b w:val="false"/>
          <w:i/>
          <w:color w:val="000000"/>
          <w:sz w:val="22"/>
        </w:rPr>
        <w:t xml:space="preserve">Period of validity. </w:t>
      </w:r>
      <w:r>
        <w:rPr>
          <w:rFonts w:ascii="Times New Roman" w:hAnsi="Times New Roman"/>
          <w:b w:val="false"/>
          <w:i w:val="false"/>
          <w:color w:val="000000"/>
          <w:sz w:val="22"/>
        </w:rPr>
        <w:t>Passing knowledge and skills test results shall remain valid for a period of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607.31(2)</w:t>
      </w:r>
      <w:r>
        <w:rPr>
          <w:rFonts w:ascii="Times New Roman" w:hAnsi="Times New Roman"/>
          <w:b w:val="false"/>
          <w:i w:val="false"/>
          <w:color w:val="000000"/>
          <w:sz w:val="22"/>
        </w:rPr>
        <w:t> </w:t>
      </w:r>
      <w:r>
        <w:rPr>
          <w:rFonts w:ascii="Times New Roman" w:hAnsi="Times New Roman"/>
          <w:b w:val="false"/>
          <w:i/>
          <w:color w:val="000000"/>
          <w:sz w:val="22"/>
        </w:rPr>
        <w:t xml:space="preserve">Retesting. </w:t>
      </w:r>
      <w:r>
        <w:rPr>
          <w:rFonts w:ascii="Times New Roman" w:hAnsi="Times New Roman"/>
          <w:b w:val="false"/>
          <w:i w:val="false"/>
          <w:color w:val="000000"/>
          <w:sz w:val="22"/>
        </w:rPr>
        <w:t xml:space="preserve">Subject to rule </w:t>
      </w:r>
      <w:hyperlink r:id="rId132">
        <w:r>
          <w:rPr>
            <w:rStyle w:val="Hyperlink"/>
            <w:rFonts w:ascii="Times New Roman" w:hAnsi="Times New Roman"/>
            <w:b w:val="false"/>
            <w:i w:val="false"/>
            <w:color w:val="000000"/>
            <w:sz w:val="22"/>
          </w:rPr>
          <w:t>761—607.28</w:t>
        </w:r>
      </w:hyperlink>
      <w:r>
        <w:rPr>
          <w:rFonts w:ascii="Times New Roman" w:hAnsi="Times New Roman"/>
          <w:b w:val="false"/>
          <w:i w:val="false"/>
          <w:color w:val="000000"/>
          <w:sz w:val="22"/>
        </w:rPr>
        <w:t>(321), an applicant shall be required to repeat only the knowledge test(s) or part(s) of the skills test that the applicant failed. An applicant who fails a test shall not be permitted to repeat that test the same day. An applicant may be required to repeat a test if the department determines the test was improperly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607.31(3)</w:t>
      </w:r>
      <w:r>
        <w:rPr>
          <w:rFonts w:ascii="Times New Roman" w:hAnsi="Times New Roman"/>
          <w:b w:val="false"/>
          <w:i w:val="false"/>
          <w:color w:val="000000"/>
          <w:sz w:val="22"/>
        </w:rPr>
        <w:t> </w:t>
      </w:r>
      <w:r>
        <w:rPr>
          <w:rFonts w:ascii="Times New Roman" w:hAnsi="Times New Roman"/>
          <w:b w:val="false"/>
          <w:i/>
          <w:color w:val="000000"/>
          <w:sz w:val="22"/>
        </w:rPr>
        <w:t xml:space="preserve">Skills test results from other states. </w:t>
      </w:r>
      <w:r>
        <w:rPr>
          <w:rFonts w:ascii="Times New Roman" w:hAnsi="Times New Roman"/>
          <w:b w:val="false"/>
          <w:i w:val="false"/>
          <w:color w:val="000000"/>
          <w:sz w:val="22"/>
        </w:rPr>
        <w:t>As required by 49 CFR Section 383.79, the department shall accept the valid results of a skills test administered to an applicant who is domiciled in the state of Iowa and that was administered by another state, in accordance with 49 CFR Part 383, Subparts F, G and H, in fulfillment of the applicant’s testing requirements under 49 CFR Section 383.71 and the state’s test administration requirements under 49 CFR Section 383.73. The results must be transmitted directly from the testing state to the department as required by 49 CFR Section 383.79.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607.31(4)</w:t>
      </w:r>
      <w:r>
        <w:rPr>
          <w:rFonts w:ascii="Times New Roman" w:hAnsi="Times New Roman"/>
          <w:b w:val="false"/>
          <w:i w:val="false"/>
          <w:color w:val="000000"/>
          <w:sz w:val="22"/>
        </w:rPr>
        <w:t> </w:t>
      </w:r>
      <w:r>
        <w:rPr>
          <w:rFonts w:ascii="Times New Roman" w:hAnsi="Times New Roman"/>
          <w:b w:val="false"/>
          <w:i/>
          <w:color w:val="000000"/>
          <w:sz w:val="22"/>
        </w:rPr>
        <w:t xml:space="preserve"> Knowledge and skills test results from certified third-party testers. </w:t>
      </w:r>
      <w:r>
        <w:rPr>
          <w:rFonts w:ascii="Times New Roman" w:hAnsi="Times New Roman"/>
          <w:b w:val="false"/>
          <w:i w:val="false"/>
          <w:color w:val="000000"/>
          <w:sz w:val="22"/>
        </w:rPr>
        <w:t xml:space="preserve">A third-party tester certified under rule </w:t>
      </w:r>
      <w:hyperlink r:id="rId133">
        <w:r>
          <w:rPr>
            <w:rStyle w:val="Hyperlink"/>
            <w:rFonts w:ascii="Times New Roman" w:hAnsi="Times New Roman"/>
            <w:b w:val="false"/>
            <w:i w:val="false"/>
            <w:color w:val="000000"/>
            <w:sz w:val="22"/>
          </w:rPr>
          <w:t>761—607.30</w:t>
        </w:r>
      </w:hyperlink>
      <w:r>
        <w:rPr>
          <w:rFonts w:ascii="Times New Roman" w:hAnsi="Times New Roman"/>
          <w:b w:val="false"/>
          <w:i w:val="false"/>
          <w:color w:val="000000"/>
          <w:sz w:val="22"/>
        </w:rPr>
        <w:t>(321) shall transmit the test results of tests administered by the third-party tester through secure electronic means determined by the department. The department may retest any person who has passed a knowledge or skills test administered by a certified third-party tester if it appears to the department that the knowledge or skills test administered by the third-party tester was administered fraudulently or improperly, and as needed to meet the third-party test examiner oversight requirements of 49 CFR Parts 383 and 384 applicable to knowledge and skills testing.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607.31(5)</w:t>
      </w:r>
      <w:r>
        <w:rPr>
          <w:rFonts w:ascii="Times New Roman" w:hAnsi="Times New Roman"/>
          <w:b w:val="false"/>
          <w:i w:val="false"/>
          <w:color w:val="000000"/>
          <w:sz w:val="22"/>
        </w:rPr>
        <w:t> </w:t>
      </w:r>
      <w:r>
        <w:rPr>
          <w:rFonts w:ascii="Times New Roman" w:hAnsi="Times New Roman"/>
          <w:b w:val="false"/>
          <w:i/>
          <w:color w:val="000000"/>
          <w:sz w:val="22"/>
        </w:rPr>
        <w:t xml:space="preserve">Downgrade or cancellation when retesting is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retesting is required under </w:t>
      </w:r>
      <w:hyperlink r:id="rId134">
        <w:r>
          <w:rPr>
            <w:rStyle w:val="Hyperlink"/>
            <w:rFonts w:ascii="Times New Roman" w:hAnsi="Times New Roman"/>
            <w:b w:val="false"/>
            <w:i w:val="false"/>
            <w:color w:val="000000"/>
            <w:sz w:val="22"/>
          </w:rPr>
          <w:t>subrule 607.31(2)</w:t>
        </w:r>
      </w:hyperlink>
      <w:r>
        <w:rPr>
          <w:rFonts w:ascii="Times New Roman" w:hAnsi="Times New Roman"/>
          <w:b w:val="false"/>
          <w:i w:val="false"/>
          <w:color w:val="000000"/>
          <w:sz w:val="22"/>
        </w:rPr>
        <w:t xml:space="preserve"> or </w:t>
      </w:r>
      <w:hyperlink r:id="rId135">
        <w:r>
          <w:rPr>
            <w:rStyle w:val="Hyperlink"/>
            <w:rFonts w:ascii="Times New Roman" w:hAnsi="Times New Roman"/>
            <w:b w:val="false"/>
            <w:i w:val="false"/>
            <w:color w:val="000000"/>
            <w:sz w:val="22"/>
          </w:rPr>
          <w:t>607.31(4)</w:t>
        </w:r>
      </w:hyperlink>
      <w:r>
        <w:rPr>
          <w:rFonts w:ascii="Times New Roman" w:hAnsi="Times New Roman"/>
          <w:b w:val="false"/>
          <w:i w:val="false"/>
          <w:color w:val="000000"/>
          <w:sz w:val="22"/>
        </w:rPr>
        <w:t>, the department shall notify the person of the requirement to retake the applicable knowledge or skills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person fails to contact the department within 30 days after receipt of the notice, fails to appear for a scheduled retest, or fails the knowledge or skills test, the department shall, in accordance with the authority in 49 CFR Section 383.5 and Iowa Code section </w:t>
      </w:r>
      <w:hyperlink r:id="rId136">
        <w:r>
          <w:rPr>
            <w:rStyle w:val="Hyperlink"/>
            <w:rFonts w:ascii="Times New Roman" w:hAnsi="Times New Roman"/>
            <w:b w:val="false"/>
            <w:i w:val="false"/>
            <w:color w:val="000000"/>
            <w:sz w:val="22"/>
          </w:rPr>
          <w:t>321.201</w:t>
        </w:r>
      </w:hyperlink>
      <w:r>
        <w:rPr>
          <w:rFonts w:ascii="Times New Roman" w:hAnsi="Times New Roman"/>
          <w:b w:val="false"/>
          <w:i w:val="false"/>
          <w:color w:val="000000"/>
          <w:sz w:val="22"/>
        </w:rPr>
        <w:t>, take one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Downgrade the person’s commercial driver’s license or commercial learner’s permit if the person held valid noncommercial driving privileges prior to obtaining the license or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Cancel the person’s commercial driver’s license or commercial learner’s permit pursuant to </w:t>
      </w:r>
      <w:hyperlink r:id="rId137">
        <w:r>
          <w:rPr>
            <w:rStyle w:val="Hyperlink"/>
            <w:rFonts w:ascii="Times New Roman" w:hAnsi="Times New Roman"/>
            <w:b w:val="false"/>
            <w:i w:val="false"/>
            <w:color w:val="000000"/>
            <w:sz w:val="22"/>
          </w:rPr>
          <w:t>761—subrule 615.7(3)</w:t>
        </w:r>
      </w:hyperlink>
      <w:r>
        <w:rPr>
          <w:rFonts w:ascii="Times New Roman" w:hAnsi="Times New Roman"/>
          <w:b w:val="false"/>
          <w:i w:val="false"/>
          <w:color w:val="000000"/>
          <w:sz w:val="22"/>
        </w:rPr>
        <w:t xml:space="preserve"> if the applicant did not hold valid noncommercial driving privileges prior to obtaining the license or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person’s commercial driver’s license or commercial learner’s permit has been downgraded or canceled under this subrule, the person must comply with all applicable retesting requirements in order to regain the license or permit, in addition to any other applicable requirements for licensure.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8">
        <w:r>
          <w:rPr>
            <w:rStyle w:val="Hyperlink"/>
            <w:rFonts w:ascii="Times New Roman" w:hAnsi="Times New Roman"/>
            <w:b w:val="false"/>
            <w:i w:val="false"/>
            <w:color w:val="000000"/>
            <w:sz w:val="22"/>
          </w:rPr>
          <w:t>321.180</w:t>
        </w:r>
      </w:hyperlink>
      <w:r>
        <w:rPr>
          <w:rFonts w:ascii="Times New Roman" w:hAnsi="Times New Roman"/>
          <w:b w:val="false"/>
          <w:i w:val="false"/>
          <w:color w:val="000000"/>
          <w:sz w:val="22"/>
        </w:rPr>
        <w:t xml:space="preserve">, </w:t>
      </w:r>
      <w:hyperlink r:id="rId139">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w:t>
      </w:r>
      <w:hyperlink r:id="rId140">
        <w:r>
          <w:rPr>
            <w:rStyle w:val="Hyperlink"/>
            <w:rFonts w:ascii="Times New Roman" w:hAnsi="Times New Roman"/>
            <w:b w:val="false"/>
            <w:i w:val="false"/>
            <w:color w:val="000000"/>
            <w:sz w:val="22"/>
          </w:rPr>
          <w:t>321.187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2022 Iowa Acts, Senate File 2337</w:t>
      </w:r>
      <w:r>
        <w:rPr>
          <w:rFonts w:ascii="Times New Roman" w:hAnsi="Times New Roman"/>
          <w:b w:val="false"/>
          <w:i w:val="false"/>
          <w:color w:val="000000"/>
          <w:sz w:val="22"/>
        </w:rPr>
        <w:t>, section 1,</w:t>
      </w:r>
      <w:r>
        <w:rPr>
          <w:rFonts w:ascii="Times New Roman" w:hAnsi="Times New Roman"/>
          <w:b w:val="false"/>
          <w:i w:val="false"/>
          <w:color w:val="000000"/>
          <w:sz w:val="22"/>
        </w:rPr>
        <w:t> </w:t>
      </w:r>
    </w:p>
    <w:p>
      <w:pPr>
        <w:spacing w:before="0" w:after="0"/>
        <w:ind w:left="0"/>
        <w:jc w:val="both"/>
      </w:pPr>
      <w:hyperlink r:id="rId141">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and </w:t>
      </w:r>
      <w:hyperlink r:id="rId142">
        <w:r>
          <w:rPr>
            <w:rStyle w:val="Hyperlink"/>
            <w:rFonts w:ascii="Times New Roman" w:hAnsi="Times New Roman"/>
            <w:b w:val="false"/>
            <w:i w:val="false"/>
            <w:color w:val="000000"/>
            <w:sz w:val="22"/>
          </w:rPr>
          <w:t>321.201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2071C</w:t>
      </w:r>
      <w:r>
        <w:rPr>
          <w:rFonts w:ascii="Times New Roman" w:hAnsi="Times New Roman"/>
          <w:b w:val="false"/>
          <w:i w:val="false"/>
          <w:color w:val="000000"/>
          <w:sz w:val="16"/>
        </w:rPr>
        <w:t>, IAB 8/5/15, effective 7/14/15</w:t>
      </w:r>
      <w:r>
        <w:rPr>
          <w:rFonts w:ascii="Times New Roman" w:hAnsi="Times New Roman"/>
          <w:b w:val="false"/>
          <w:i w:val="false"/>
          <w:color w:val="000000"/>
          <w:sz w:val="16"/>
        </w:rPr>
        <w:t xml:space="preserve">; </w:t>
      </w:r>
      <w:r>
        <w:rPr>
          <w:rFonts w:ascii="Times New Roman" w:hAnsi="Times New Roman"/>
          <w:b/>
          <w:i w:val="false"/>
          <w:color w:val="000000"/>
          <w:sz w:val="16"/>
        </w:rPr>
        <w:t>ARC 2337C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 xml:space="preserve">; </w:t>
      </w:r>
      <w:r>
        <w:rPr>
          <w:rFonts w:ascii="Times New Roman" w:hAnsi="Times New Roman"/>
          <w:b/>
          <w:i w:val="false"/>
          <w:color w:val="000000"/>
          <w:sz w:val="16"/>
        </w:rPr>
        <w:t>ARC 2530C</w:t>
      </w:r>
      <w:r>
        <w:rPr>
          <w:rFonts w:ascii="Times New Roman" w:hAnsi="Times New Roman"/>
          <w:b w:val="false"/>
          <w:i w:val="false"/>
          <w:color w:val="000000"/>
          <w:sz w:val="16"/>
        </w:rPr>
        <w:t>, IAB 5/11/16, effective 6/15/16</w:t>
      </w:r>
      <w:r>
        <w:rPr>
          <w:rFonts w:ascii="Times New Roman" w:hAnsi="Times New Roman"/>
          <w:b w:val="false"/>
          <w:i w:val="false"/>
          <w:color w:val="000000"/>
          <w:sz w:val="16"/>
        </w:rPr>
        <w:t xml:space="preserve">; </w:t>
      </w:r>
      <w:r>
        <w:rPr>
          <w:rFonts w:ascii="Times New Roman" w:hAnsi="Times New Roman"/>
          <w:b/>
          <w:i w:val="false"/>
          <w:color w:val="000000"/>
          <w:sz w:val="16"/>
        </w:rPr>
        <w:t>ARC 3689C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i w:val="false"/>
          <w:color w:val="000000"/>
          <w:sz w:val="16"/>
        </w:rPr>
        <w:t>ARC 4986C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6307C</w:t>
      </w:r>
      <w:r>
        <w:rPr>
          <w:rFonts w:ascii="Times New Roman" w:hAnsi="Times New Roman"/>
          <w:b w:val="false"/>
          <w:i w:val="false"/>
          <w:color w:val="000000"/>
          <w:sz w:val="16"/>
        </w:rPr>
        <w:t>, IAB 5/4/22, effective 6/8/22</w:t>
      </w:r>
      <w:r>
        <w:rPr>
          <w:rFonts w:ascii="Times New Roman" w:hAnsi="Times New Roman"/>
          <w:b w:val="false"/>
          <w:i w:val="false"/>
          <w:color w:val="000000"/>
          <w:sz w:val="16"/>
        </w:rPr>
        <w:t xml:space="preserve">; </w:t>
      </w:r>
      <w:r>
        <w:rPr>
          <w:rFonts w:ascii="Times New Roman" w:hAnsi="Times New Roman"/>
          <w:b/>
          <w:i w:val="false"/>
          <w:color w:val="000000"/>
          <w:sz w:val="16"/>
        </w:rPr>
        <w:t>ARC 6706C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761—607.32</w:t>
      </w:r>
      <w:r>
        <w:rPr>
          <w:rFonts w:ascii="Times New Roman" w:hAnsi="Times New Roman"/>
          <w:b/>
          <w:i w:val="false"/>
          <w:color w:val="000000"/>
          <w:sz w:val="22"/>
        </w:rPr>
        <w:t xml:space="preserve">(321) </w:t>
      </w:r>
      <w:r>
        <w:rPr>
          <w:rFonts w:ascii="Times New Roman" w:hAnsi="Times New Roman"/>
          <w:b/>
          <w:i w:val="false"/>
          <w:color w:val="000000"/>
          <w:sz w:val="22"/>
        </w:rPr>
        <w:t xml:space="preserve">Knowledge and skills testing of nondomiciled military 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607.32(1)</w:t>
      </w:r>
      <w:r>
        <w:rPr>
          <w:rFonts w:ascii="Times New Roman" w:hAnsi="Times New Roman"/>
          <w:b w:val="false"/>
          <w:i w:val="false"/>
          <w:color w:val="000000"/>
          <w:sz w:val="22"/>
        </w:rPr>
        <w:t> </w:t>
      </w:r>
      <w:r>
        <w:rPr>
          <w:rFonts w:ascii="Times New Roman" w:hAnsi="Times New Roman"/>
          <w:b w:val="false"/>
          <w:i/>
          <w:color w:val="000000"/>
          <w:sz w:val="22"/>
        </w:rPr>
        <w:t xml:space="preserve">Role of state of duty station. </w:t>
      </w:r>
      <w:r>
        <w:rPr>
          <w:rFonts w:ascii="Times New Roman" w:hAnsi="Times New Roman"/>
          <w:b w:val="false"/>
          <w:i w:val="false"/>
          <w:color w:val="000000"/>
          <w:sz w:val="22"/>
        </w:rPr>
        <w:t xml:space="preserve">The department may accept an application for a CLP or CDL, including an application for waiver of the knowledge test as provided in subrule 607.27(5), if the applicant is an active duty military service member stationed, but not domiciled, in Iowa, and the department has an agreement to accept such applications with the applicant’s state of domicile as provided in 49 CFR Section 383.79.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certify and provide evidence that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is regularly employed or was regularly employed within the past year in a military position requiring operation of a commercial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has a valid driver’s license from the applicant’s state of domicile.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has a valid active duty military identification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has a current copy of either the applicant’s military leave and earnings statement or the applicant’s orders.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applicant meets the requirements of paragraph 607.32(1)</w:t>
      </w:r>
      <w:r>
        <w:rPr>
          <w:rFonts w:ascii="Times New Roman" w:hAnsi="Times New Roman"/>
          <w:b w:val="false"/>
          <w:i/>
          <w:color w:val="000000"/>
          <w:sz w:val="22"/>
        </w:rPr>
        <w:t>“a”</w:t>
      </w:r>
      <w:r>
        <w:rPr>
          <w:rFonts w:ascii="Times New Roman" w:hAnsi="Times New Roman"/>
          <w:b w:val="false"/>
          <w:i w:val="false"/>
          <w:color w:val="000000"/>
          <w:sz w:val="22"/>
        </w:rPr>
        <w:t xml:space="preserve"> and the department has an agreement with the applicant’s state of domicile as provided in this subrule, the department may do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Administer the knowledge and skills tests to the applicant as appropriate in accordance with 49 CFR Part 383, Subparts F, G, and H, if the state of domicile requires those tests;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Waive the knowledge and skills tests in accordance with 49 CFR Section 383.77 and this chapter if the state of domicile also permits waiver of the knowledge and skills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destroy the applicant’s driver’s license on behalf of the state of domicile unless the state of domicile requires the driver’s license to be surrendered to the state of domicile’s driver’s licensing agency.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607.32(2)</w:t>
      </w:r>
      <w:r>
        <w:rPr>
          <w:rFonts w:ascii="Times New Roman" w:hAnsi="Times New Roman"/>
          <w:b w:val="false"/>
          <w:i w:val="false"/>
          <w:color w:val="000000"/>
          <w:sz w:val="22"/>
        </w:rPr>
        <w:t> </w:t>
      </w:r>
      <w:r>
        <w:rPr>
          <w:rFonts w:ascii="Times New Roman" w:hAnsi="Times New Roman"/>
          <w:b w:val="false"/>
          <w:i/>
          <w:color w:val="000000"/>
          <w:sz w:val="22"/>
        </w:rPr>
        <w:t xml:space="preserve">Electronic transmission of application and test results. </w:t>
      </w:r>
      <w:r>
        <w:rPr>
          <w:rFonts w:ascii="Times New Roman" w:hAnsi="Times New Roman"/>
          <w:b w:val="false"/>
          <w:i w:val="false"/>
          <w:color w:val="000000"/>
          <w:sz w:val="22"/>
        </w:rPr>
        <w:t>The department shall transmit to the state of domicile the applicant’s application, any supporting documents and the results of any skills or knowledge tests administered as provided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607.32(3)</w:t>
      </w:r>
      <w:r>
        <w:rPr>
          <w:rFonts w:ascii="Times New Roman" w:hAnsi="Times New Roman"/>
          <w:b w:val="false"/>
          <w:i w:val="false"/>
          <w:color w:val="000000"/>
          <w:sz w:val="22"/>
        </w:rPr>
        <w:t> </w:t>
      </w:r>
      <w:r>
        <w:rPr>
          <w:rFonts w:ascii="Times New Roman" w:hAnsi="Times New Roman"/>
          <w:b w:val="false"/>
          <w:i/>
          <w:color w:val="000000"/>
          <w:sz w:val="22"/>
        </w:rPr>
        <w:t xml:space="preserve">Role of state of domicile. </w:t>
      </w:r>
      <w:r>
        <w:rPr>
          <w:rFonts w:ascii="Times New Roman" w:hAnsi="Times New Roman"/>
          <w:b w:val="false"/>
          <w:i w:val="false"/>
          <w:color w:val="000000"/>
          <w:sz w:val="22"/>
        </w:rPr>
        <w:t>If the department has an agreement with the applicant’s state of duty station, upon completion of the applicant’s application pursuant to 49 CFR Section 383.71 and any testing administered by the applicant’s state of duty station pursuant to 49 CFR Sections 383.71 and 383.73, the department may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Accept the completed application, any supporting documents, and the results of the knowledge and skills tests administered by the applicant’s state of duty station.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Issue the applicant a CLP or CDL.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3">
        <w:r>
          <w:rPr>
            <w:rStyle w:val="Hyperlink"/>
            <w:rFonts w:ascii="Times New Roman" w:hAnsi="Times New Roman"/>
            <w:b w:val="false"/>
            <w:i w:val="false"/>
            <w:color w:val="000000"/>
            <w:sz w:val="22"/>
          </w:rPr>
          <w:t>321.180</w:t>
        </w:r>
      </w:hyperlink>
      <w:r>
        <w:rPr>
          <w:rFonts w:ascii="Times New Roman" w:hAnsi="Times New Roman"/>
          <w:b w:val="false"/>
          <w:i w:val="false"/>
          <w:color w:val="000000"/>
          <w:sz w:val="22"/>
        </w:rPr>
        <w:t xml:space="preserve">, </w:t>
      </w:r>
      <w:hyperlink r:id="rId144">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w:t>
      </w:r>
      <w:hyperlink r:id="rId145">
        <w:r>
          <w:rPr>
            <w:rStyle w:val="Hyperlink"/>
            <w:rFonts w:ascii="Times New Roman" w:hAnsi="Times New Roman"/>
            <w:b w:val="false"/>
            <w:i w:val="false"/>
            <w:color w:val="000000"/>
            <w:sz w:val="22"/>
          </w:rPr>
          <w:t>321.187</w:t>
        </w:r>
      </w:hyperlink>
      <w:r>
        <w:rPr>
          <w:rFonts w:ascii="Times New Roman" w:hAnsi="Times New Roman"/>
          <w:b w:val="false"/>
          <w:i w:val="false"/>
          <w:color w:val="000000"/>
          <w:sz w:val="22"/>
        </w:rPr>
        <w:t xml:space="preserve">, and </w:t>
      </w:r>
      <w:hyperlink r:id="rId146">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and 49 CFR Part 383.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4986C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761—607.33</w:t>
      </w:r>
      <w:r>
        <w:rPr>
          <w:rFonts w:ascii="Times New Roman" w:hAnsi="Times New Roman"/>
          <w:b w:val="false"/>
          <w:i w:val="false"/>
          <w:color w:val="000000"/>
          <w:sz w:val="22"/>
        </w:rPr>
        <w:t xml:space="preserve"> and </w:t>
      </w:r>
      <w:r>
        <w:rPr>
          <w:rFonts w:ascii="Times New Roman" w:hAnsi="Times New Roman"/>
          <w:b/>
          <w:i w:val="false"/>
          <w:color w:val="000000"/>
          <w:sz w:val="22"/>
        </w:rPr>
        <w:t>607.34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761—607.35</w:t>
      </w:r>
      <w:r>
        <w:rPr>
          <w:rFonts w:ascii="Times New Roman" w:hAnsi="Times New Roman"/>
          <w:b/>
          <w:i w:val="false"/>
          <w:color w:val="000000"/>
          <w:sz w:val="22"/>
        </w:rPr>
        <w:t xml:space="preserve">(321) </w:t>
      </w:r>
      <w:r>
        <w:rPr>
          <w:rFonts w:ascii="Times New Roman" w:hAnsi="Times New Roman"/>
          <w:b/>
          <w:i w:val="false"/>
          <w:color w:val="000000"/>
          <w:sz w:val="22"/>
        </w:rPr>
        <w:t xml:space="preserve">Issuance of commercial driver’s license and commercial learner’s permit. </w:t>
      </w:r>
      <w:r>
        <w:rPr>
          <w:rFonts w:ascii="Times New Roman" w:hAnsi="Times New Roman"/>
          <w:b w:val="false"/>
          <w:i w:val="false"/>
          <w:color w:val="000000"/>
          <w:sz w:val="22"/>
        </w:rPr>
        <w:t xml:space="preserve">A commercial driver’s license or commercial learner’s permit issued by the department shall include the information and markings required by Iowa Code section </w:t>
      </w:r>
      <w:hyperlink r:id="rId147">
        <w:r>
          <w:rPr>
            <w:rStyle w:val="Hyperlink"/>
            <w:rFonts w:ascii="Times New Roman" w:hAnsi="Times New Roman"/>
            <w:b w:val="false"/>
            <w:i w:val="false"/>
            <w:color w:val="000000"/>
            <w:sz w:val="22"/>
          </w:rPr>
          <w:t>321.189(2)</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8">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2071C</w:t>
      </w:r>
      <w:r>
        <w:rPr>
          <w:rFonts w:ascii="Times New Roman" w:hAnsi="Times New Roman"/>
          <w:b w:val="false"/>
          <w:i w:val="false"/>
          <w:color w:val="000000"/>
          <w:sz w:val="16"/>
        </w:rPr>
        <w:t>, IAB 8/5/15, effective 7/14/15</w:t>
      </w:r>
      <w:r>
        <w:rPr>
          <w:rFonts w:ascii="Times New Roman" w:hAnsi="Times New Roman"/>
          <w:b w:val="false"/>
          <w:i w:val="false"/>
          <w:color w:val="000000"/>
          <w:sz w:val="16"/>
        </w:rPr>
        <w:t xml:space="preserve">; </w:t>
      </w:r>
      <w:r>
        <w:rPr>
          <w:rFonts w:ascii="Times New Roman" w:hAnsi="Times New Roman"/>
          <w:b/>
          <w:i w:val="false"/>
          <w:color w:val="000000"/>
          <w:sz w:val="16"/>
        </w:rPr>
        <w:t>ARC 2337C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 xml:space="preserve">; </w:t>
      </w:r>
      <w:r>
        <w:rPr>
          <w:rFonts w:ascii="Times New Roman" w:hAnsi="Times New Roman"/>
          <w:b/>
          <w:i w:val="false"/>
          <w:color w:val="000000"/>
          <w:sz w:val="16"/>
        </w:rPr>
        <w:t>ARC 2530C</w:t>
      </w:r>
      <w:r>
        <w:rPr>
          <w:rFonts w:ascii="Times New Roman" w:hAnsi="Times New Roman"/>
          <w:b w:val="false"/>
          <w:i w:val="false"/>
          <w:color w:val="000000"/>
          <w:sz w:val="16"/>
        </w:rPr>
        <w:t>, IAB 5/11/16, effective 6/15/16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761—607.36</w:t>
      </w:r>
      <w:r>
        <w:rPr>
          <w:rFonts w:ascii="Times New Roman" w:hAnsi="Times New Roman"/>
          <w:b/>
          <w:i w:val="false"/>
          <w:color w:val="000000"/>
          <w:sz w:val="22"/>
        </w:rPr>
        <w:t xml:space="preserve">(321) </w:t>
      </w:r>
      <w:r>
        <w:rPr>
          <w:rFonts w:ascii="Times New Roman" w:hAnsi="Times New Roman"/>
          <w:b/>
          <w:i w:val="false"/>
          <w:color w:val="000000"/>
          <w:sz w:val="22"/>
        </w:rPr>
        <w:t xml:space="preserve">Conversion to commercial driver’s license.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6/23/93</w:t>
      </w:r>
      <w:r>
        <w:rPr>
          <w:rFonts w:ascii="Times New Roman" w:hAnsi="Times New Roman"/>
          <w:b w:val="false"/>
          <w:i w:val="false"/>
          <w:color w:val="000000"/>
          <w:sz w:val="22"/>
        </w:rPr>
        <w:t>, effective 7/28/93.</w:t>
      </w:r>
    </w:p>
    <w:p>
      <w:pPr>
        <w:spacing w:before="0" w:after="0"/>
        <w:ind w:left="120"/>
        <w:jc w:val="both"/>
      </w:pPr>
      <w:r>
        <w:rPr>
          <w:rFonts w:ascii="Times New Roman" w:hAnsi="Times New Roman"/>
          <w:b/>
          <w:i w:val="false"/>
          <w:color w:val="000000"/>
          <w:sz w:val="22"/>
        </w:rPr>
        <w:t>761—607.37</w:t>
      </w:r>
      <w:r>
        <w:rPr>
          <w:rFonts w:ascii="Times New Roman" w:hAnsi="Times New Roman"/>
          <w:b/>
          <w:i w:val="false"/>
          <w:color w:val="000000"/>
          <w:sz w:val="22"/>
        </w:rPr>
        <w:t xml:space="preserve">(321) </w:t>
      </w:r>
      <w:r>
        <w:rPr>
          <w:rFonts w:ascii="Times New Roman" w:hAnsi="Times New Roman"/>
          <w:b/>
          <w:i w:val="false"/>
          <w:color w:val="000000"/>
          <w:sz w:val="22"/>
        </w:rPr>
        <w:t xml:space="preserve">Commercial driver’s license renewal. </w:t>
      </w:r>
      <w:r>
        <w:rPr>
          <w:rFonts w:ascii="Times New Roman" w:hAnsi="Times New Roman"/>
          <w:b w:val="false"/>
          <w:i w:val="false"/>
          <w:color w:val="000000"/>
          <w:sz w:val="22"/>
        </w:rPr>
        <w:t>The department shall administer commercial driver’s license renewals as required by 49 CFR Section 383.73.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607.37(1)</w:t>
      </w:r>
      <w:r>
        <w:rPr>
          <w:rFonts w:ascii="Times New Roman" w:hAnsi="Times New Roman"/>
          <w:b w:val="false"/>
          <w:i w:val="false"/>
          <w:color w:val="000000"/>
          <w:sz w:val="22"/>
        </w:rPr>
        <w:t> </w:t>
      </w:r>
      <w:r>
        <w:rPr>
          <w:rFonts w:ascii="Times New Roman" w:hAnsi="Times New Roman"/>
          <w:b w:val="false"/>
          <w:i/>
          <w:color w:val="000000"/>
          <w:sz w:val="22"/>
        </w:rPr>
        <w:t xml:space="preserve">Licensee requirements. </w:t>
      </w:r>
      <w:r>
        <w:rPr>
          <w:rFonts w:ascii="Times New Roman" w:hAnsi="Times New Roman"/>
          <w:b w:val="false"/>
          <w:i w:val="false"/>
          <w:color w:val="000000"/>
          <w:sz w:val="22"/>
        </w:rPr>
        <w:t>To renew a commercial driver’s license, the licensee shall apply at a driver’s license service center and complete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make a written self-certification of type of driving as required by rule </w:t>
      </w:r>
      <w:hyperlink r:id="rId149">
        <w:r>
          <w:rPr>
            <w:rStyle w:val="Hyperlink"/>
            <w:rFonts w:ascii="Times New Roman" w:hAnsi="Times New Roman"/>
            <w:b w:val="false"/>
            <w:i w:val="false"/>
            <w:color w:val="000000"/>
            <w:sz w:val="22"/>
          </w:rPr>
          <w:t>761—607.50</w:t>
        </w:r>
      </w:hyperlink>
      <w:r>
        <w:rPr>
          <w:rFonts w:ascii="Times New Roman" w:hAnsi="Times New Roman"/>
          <w:b w:val="false"/>
          <w:i w:val="false"/>
          <w:color w:val="000000"/>
          <w:sz w:val="22"/>
        </w:rPr>
        <w:t>(321) and, if required, provide a current medical examiner’s certificate unless the person’s medical examiner’s certificate is provided to the department electronically by the Federal Motor Carrier Safety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licensee has and wishes to retain a hazardous material endorsement, the licensee shall pass the test required in 49 CFR Section 383.121 and comply with the Transportation Security Administration security threat assessment standards specified in 49 CFR Sections 383.71(b)(8) and 383.141 for such endorsement. A lawful permanent resident of the United States must also provide the licensee’s U.S. Citizenship and Immigration Services alien registration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provide proof of citizenship or lawful permanent residency and state of domicile as required by rule </w:t>
      </w:r>
      <w:hyperlink r:id="rId150">
        <w:r>
          <w:rPr>
            <w:rStyle w:val="Hyperlink"/>
            <w:rFonts w:ascii="Times New Roman" w:hAnsi="Times New Roman"/>
            <w:b w:val="false"/>
            <w:i w:val="false"/>
            <w:color w:val="000000"/>
            <w:sz w:val="22"/>
          </w:rPr>
          <w:t>761—607.15</w:t>
        </w:r>
      </w:hyperlink>
      <w:r>
        <w:rPr>
          <w:rFonts w:ascii="Times New Roman" w:hAnsi="Times New Roman"/>
          <w:b w:val="false"/>
          <w:i w:val="false"/>
          <w:color w:val="000000"/>
          <w:sz w:val="22"/>
        </w:rPr>
        <w:t>(321) and 49 CFR 383.73(d)(7). Proof of citizenship or lawful permanent residency is not required if the licensee provided such proof at initial issuance or a previous renewal or upgrade of the license and the department has a notation on the licensee’s record confirming that the required proof of legal citizenship or legal presence check was made and the date on which it was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licensee is domiciled in a foreign jurisdiction and renewing a non-domiciled commercial driver’s license, the licensee must provide a document required by 49 CFR 383.71(f) at each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607.37(2)</w:t>
      </w:r>
      <w:r>
        <w:rPr>
          <w:rFonts w:ascii="Times New Roman" w:hAnsi="Times New Roman"/>
          <w:b w:val="false"/>
          <w:i w:val="false"/>
          <w:color w:val="000000"/>
          <w:sz w:val="22"/>
        </w:rPr>
        <w:t> </w:t>
      </w:r>
      <w:r>
        <w:rPr>
          <w:rFonts w:ascii="Times New Roman" w:hAnsi="Times New Roman"/>
          <w:b w:val="false"/>
          <w:i/>
          <w:color w:val="000000"/>
          <w:sz w:val="22"/>
        </w:rPr>
        <w:t xml:space="preserve">Early renewal. </w:t>
      </w:r>
      <w:r>
        <w:rPr>
          <w:rFonts w:ascii="Times New Roman" w:hAnsi="Times New Roman"/>
          <w:b w:val="false"/>
          <w:i w:val="false"/>
          <w:color w:val="000000"/>
          <w:sz w:val="22"/>
        </w:rPr>
        <w:t>A valid commercial driver’s license may be renewed 90 days before the expiration date. If this is impractical, the department for good cause may renew a license earlier, not to exceed 364 days prior to the expiration date. The department may allow renewal earlier than 364 days prior to the expiration date for active military personnel being deployed due to actual or potential military conflict.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1">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w:t>
      </w:r>
      <w:hyperlink r:id="rId152">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and </w:t>
      </w:r>
      <w:hyperlink r:id="rId153">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2337C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 xml:space="preserve">; </w:t>
      </w:r>
      <w:r>
        <w:rPr>
          <w:rFonts w:ascii="Times New Roman" w:hAnsi="Times New Roman"/>
          <w:b/>
          <w:i w:val="false"/>
          <w:color w:val="000000"/>
          <w:sz w:val="16"/>
        </w:rPr>
        <w:t>ARC 2337C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 xml:space="preserve">; </w:t>
      </w:r>
      <w:r>
        <w:rPr>
          <w:rFonts w:ascii="Times New Roman" w:hAnsi="Times New Roman"/>
          <w:b/>
          <w:i w:val="false"/>
          <w:color w:val="000000"/>
          <w:sz w:val="16"/>
        </w:rPr>
        <w:t>ARC 2530C</w:t>
      </w:r>
      <w:r>
        <w:rPr>
          <w:rFonts w:ascii="Times New Roman" w:hAnsi="Times New Roman"/>
          <w:b w:val="false"/>
          <w:i w:val="false"/>
          <w:color w:val="000000"/>
          <w:sz w:val="16"/>
        </w:rPr>
        <w:t>, IAB 5/11/16, effective 6/15/16</w:t>
      </w:r>
      <w:r>
        <w:rPr>
          <w:rFonts w:ascii="Times New Roman" w:hAnsi="Times New Roman"/>
          <w:b w:val="false"/>
          <w:i w:val="false"/>
          <w:color w:val="000000"/>
          <w:sz w:val="16"/>
        </w:rPr>
        <w:t xml:space="preserve">; </w:t>
      </w:r>
      <w:r>
        <w:rPr>
          <w:rFonts w:ascii="Times New Roman" w:hAnsi="Times New Roman"/>
          <w:b/>
          <w:i w:val="false"/>
          <w:color w:val="000000"/>
          <w:sz w:val="16"/>
        </w:rPr>
        <w:t>ARC 4986C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5547C</w:t>
      </w:r>
      <w:r>
        <w:rPr>
          <w:rFonts w:ascii="Times New Roman" w:hAnsi="Times New Roman"/>
          <w:b w:val="false"/>
          <w:i w:val="false"/>
          <w:color w:val="000000"/>
          <w:sz w:val="16"/>
        </w:rPr>
        <w:t>, IAB 4/7/21, effective 5/12/21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761—607.38</w:t>
      </w:r>
      <w:r>
        <w:rPr>
          <w:rFonts w:ascii="Times New Roman" w:hAnsi="Times New Roman"/>
          <w:b/>
          <w:i w:val="false"/>
          <w:color w:val="000000"/>
          <w:sz w:val="22"/>
        </w:rPr>
        <w:t xml:space="preserve">(321) </w:t>
      </w:r>
      <w:r>
        <w:rPr>
          <w:rFonts w:ascii="Times New Roman" w:hAnsi="Times New Roman"/>
          <w:b/>
          <w:i w:val="false"/>
          <w:color w:val="000000"/>
          <w:sz w:val="22"/>
        </w:rPr>
        <w:t xml:space="preserve">Transfers from another state. </w:t>
      </w:r>
      <w:r>
        <w:rPr>
          <w:rFonts w:ascii="Times New Roman" w:hAnsi="Times New Roman"/>
          <w:b w:val="false"/>
          <w:i w:val="false"/>
          <w:color w:val="000000"/>
          <w:sz w:val="22"/>
        </w:rPr>
        <w:t xml:space="preserve">Upon initial application for an Iowa license, an Iowa resident who has a valid commercial driver’s license from a former state of residence is not required to retest except as specified in Iowa Code subsection </w:t>
      </w:r>
      <w:hyperlink r:id="rId154">
        <w:r>
          <w:rPr>
            <w:rStyle w:val="Hyperlink"/>
            <w:rFonts w:ascii="Times New Roman" w:hAnsi="Times New Roman"/>
            <w:b w:val="false"/>
            <w:i w:val="false"/>
            <w:color w:val="000000"/>
            <w:sz w:val="22"/>
          </w:rPr>
          <w:t>321.188(5)</w:t>
        </w:r>
      </w:hyperlink>
      <w:r>
        <w:rPr>
          <w:rFonts w:ascii="Times New Roman" w:hAnsi="Times New Roman"/>
          <w:b w:val="false"/>
          <w:i w:val="false"/>
          <w:color w:val="000000"/>
          <w:sz w:val="22"/>
        </w:rPr>
        <w:t xml:space="preserve"> but is required to pay the applicable endorsement and restriction removal fees.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5">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and </w:t>
      </w:r>
      <w:hyperlink r:id="rId156">
        <w:r>
          <w:rPr>
            <w:rStyle w:val="Hyperlink"/>
            <w:rFonts w:ascii="Times New Roman" w:hAnsi="Times New Roman"/>
            <w:b w:val="false"/>
            <w:i w:val="false"/>
            <w:color w:val="000000"/>
            <w:sz w:val="22"/>
          </w:rPr>
          <w:t>321.191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761—607.39</w:t>
      </w:r>
      <w:r>
        <w:rPr>
          <w:rFonts w:ascii="Times New Roman" w:hAnsi="Times New Roman"/>
          <w:b/>
          <w:i w:val="false"/>
          <w:color w:val="000000"/>
          <w:sz w:val="22"/>
        </w:rPr>
        <w:t xml:space="preserve">(321)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607.39(1)</w:t>
      </w:r>
      <w:r>
        <w:rPr>
          <w:rFonts w:ascii="Times New Roman" w:hAnsi="Times New Roman"/>
          <w:b w:val="false"/>
          <w:i w:val="false"/>
          <w:color w:val="000000"/>
          <w:sz w:val="22"/>
        </w:rPr>
        <w:t> </w:t>
      </w:r>
      <w:r>
        <w:rPr>
          <w:rFonts w:ascii="Times New Roman" w:hAnsi="Times New Roman"/>
          <w:b w:val="false"/>
          <w:i/>
          <w:color w:val="000000"/>
          <w:sz w:val="22"/>
        </w:rPr>
        <w:t xml:space="preserve">Date. </w:t>
      </w:r>
      <w:r>
        <w:rPr>
          <w:rFonts w:ascii="Times New Roman" w:hAnsi="Times New Roman"/>
          <w:b w:val="false"/>
          <w:i w:val="false"/>
          <w:color w:val="000000"/>
          <w:sz w:val="22"/>
        </w:rPr>
        <w:t xml:space="preserve">A disqualifying act, action or offense under Iowa Code section </w:t>
      </w:r>
      <w:hyperlink r:id="rId157">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 that occurred before July 1, 1990, shall not be grounds for disqualification from operating a commercial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607.39(2)</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 xml:space="preserve">A 30-day advance notice of disqualification shall be served by the department in accordance with rule </w:t>
      </w:r>
      <w:hyperlink r:id="rId158">
        <w:r>
          <w:rPr>
            <w:rStyle w:val="Hyperlink"/>
            <w:rFonts w:ascii="Times New Roman" w:hAnsi="Times New Roman"/>
            <w:b w:val="false"/>
            <w:i w:val="false"/>
            <w:color w:val="000000"/>
            <w:sz w:val="22"/>
          </w:rPr>
          <w:t>761—615.37</w:t>
        </w:r>
      </w:hyperlink>
      <w:r>
        <w:rPr>
          <w:rFonts w:ascii="Times New Roman" w:hAnsi="Times New Roman"/>
          <w:b w:val="false"/>
          <w:i w:val="false"/>
          <w:color w:val="000000"/>
          <w:sz w:val="22"/>
        </w:rPr>
        <w:t xml:space="preserve">(321). Pursuant to Iowa Code subsection </w:t>
      </w:r>
      <w:hyperlink r:id="rId159">
        <w:r>
          <w:rPr>
            <w:rStyle w:val="Hyperlink"/>
            <w:rFonts w:ascii="Times New Roman" w:hAnsi="Times New Roman"/>
            <w:b w:val="false"/>
            <w:i w:val="false"/>
            <w:color w:val="000000"/>
            <w:sz w:val="22"/>
          </w:rPr>
          <w:t>321.208(12)</w:t>
        </w:r>
      </w:hyperlink>
      <w:r>
        <w:rPr>
          <w:rFonts w:ascii="Times New Roman" w:hAnsi="Times New Roman"/>
          <w:b w:val="false"/>
          <w:i w:val="false"/>
          <w:color w:val="000000"/>
          <w:sz w:val="22"/>
        </w:rPr>
        <w:t>, a peace officer on behalf of the department may serve the notice of disqualification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607.39(3)</w:t>
      </w:r>
      <w:r>
        <w:rPr>
          <w:rFonts w:ascii="Times New Roman" w:hAnsi="Times New Roman"/>
          <w:b w:val="false"/>
          <w:i w:val="false"/>
          <w:color w:val="000000"/>
          <w:sz w:val="22"/>
        </w:rPr>
        <w:t> </w:t>
      </w:r>
      <w:r>
        <w:rPr>
          <w:rFonts w:ascii="Times New Roman" w:hAnsi="Times New Roman"/>
          <w:b w:val="false"/>
          <w:i/>
          <w:color w:val="000000"/>
          <w:sz w:val="22"/>
        </w:rPr>
        <w:t xml:space="preserve">Hearing and appeal process. </w:t>
      </w:r>
      <w:r>
        <w:rPr>
          <w:rFonts w:ascii="Times New Roman" w:hAnsi="Times New Roman"/>
          <w:b w:val="false"/>
          <w:i w:val="false"/>
          <w:color w:val="000000"/>
          <w:sz w:val="22"/>
        </w:rPr>
        <w:t xml:space="preserve">A person who has received a notice of disqualification may contest the disqualification in accordance with </w:t>
      </w:r>
      <w:hyperlink r:id="rId160">
        <w:r>
          <w:rPr>
            <w:rStyle w:val="Hyperlink"/>
            <w:rFonts w:ascii="Times New Roman" w:hAnsi="Times New Roman"/>
            <w:b w:val="false"/>
            <w:i w:val="false"/>
            <w:color w:val="000000"/>
            <w:sz w:val="22"/>
          </w:rPr>
          <w:t>761—615.38</w:t>
        </w:r>
      </w:hyperlink>
      <w:r>
        <w:rPr>
          <w:rFonts w:ascii="Times New Roman" w:hAnsi="Times New Roman"/>
          <w:b w:val="false"/>
          <w:i w:val="false"/>
          <w:color w:val="000000"/>
          <w:sz w:val="22"/>
        </w:rPr>
        <w:t>(17A,321).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607.39(4)</w:t>
      </w:r>
      <w:r>
        <w:rPr>
          <w:rFonts w:ascii="Times New Roman" w:hAnsi="Times New Roman"/>
          <w:b w:val="false"/>
          <w:i w:val="false"/>
          <w:color w:val="000000"/>
          <w:sz w:val="22"/>
        </w:rPr>
        <w:t> </w:t>
      </w:r>
      <w:r>
        <w:rPr>
          <w:rFonts w:ascii="Times New Roman" w:hAnsi="Times New Roman"/>
          <w:b w:val="false"/>
          <w:i/>
          <w:color w:val="000000"/>
          <w:sz w:val="22"/>
        </w:rPr>
        <w:t xml:space="preserve">Reduction of lifetime 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permitted by 49 CFR Section 383.51, a person subject to lifetime disqualification of the person’s commercial driving privileges may apply to the department for reinstatement. The approval is subject to the discretion of the department and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request may not be made prior to ten years from the effective date of the lifetime disqualification.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must submit the request in a manner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driving record contains alcohol-related or drug-related offenses that resulted in the lifetime disqualification, the person must have completed an alcohol or drug evaluation and have completed any recommended treatment which meets or exceeds the minimum standards approved by the Iowa department of health and human services. Evidence of a completed evaluation and treatment must be on file with the department or submitted with the application for 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Within the ten years preceding the request, the person must not have any of the following moving violation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drug or alcohol offense.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Leaving the scene of an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felony involving the use of any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moving violation while operating a commercial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request, and the person shall provide, any additional information or documentation necessary to determine the person’s eligibility for reinstatement or general fitness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department finds the person is eligible for reinstatement under this subrule, the person shall do all of the following prior to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Pay all outstanding reinstatement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Meet all outstanding reinstatement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Pass the required knowledge, vision, and skills tests as specified in Iowa Code section </w:t>
      </w:r>
      <w:hyperlink r:id="rId161">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Complete any other courses or requirements as required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 provided in 49 CFR Section 383.51(a)(6), a person who has previously had the person’s commercial driving privileges reinstated pursuant to this subrule shall not be eligible to apply for reinstatement following conviction of a subsequent disqualifying offense.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the person is not eligible for reinstatement as provided in this subrule, the department shall send notice by first-class mail to the person’s mailing address as shown on departmental records that the lifetime disqualification remains in effect.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607.39(5)</w:t>
      </w:r>
      <w:r>
        <w:rPr>
          <w:rFonts w:ascii="Times New Roman" w:hAnsi="Times New Roman"/>
          <w:b w:val="false"/>
          <w:i w:val="false"/>
          <w:color w:val="000000"/>
          <w:sz w:val="22"/>
        </w:rPr>
        <w:t> </w:t>
      </w:r>
      <w:r>
        <w:rPr>
          <w:rFonts w:ascii="Times New Roman" w:hAnsi="Times New Roman"/>
          <w:b w:val="false"/>
          <w:i/>
          <w:color w:val="000000"/>
          <w:sz w:val="22"/>
        </w:rPr>
        <w:t xml:space="preserve">Fraud related to testing and 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As required by 49 CFR Section 383.73(k) and Iowa Code section </w:t>
      </w:r>
      <w:hyperlink r:id="rId162">
        <w:r>
          <w:rPr>
            <w:rStyle w:val="Hyperlink"/>
            <w:rFonts w:ascii="Times New Roman" w:hAnsi="Times New Roman"/>
            <w:b w:val="false"/>
            <w:i w:val="false"/>
            <w:color w:val="000000"/>
            <w:sz w:val="22"/>
          </w:rPr>
          <w:t>321.201(2)</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department shall disqualify the commercial driver’s license or commercial learner’s permit of a person convicted or suspected of fraud related to the testing for or issuance of a commercial driver’s license or commercial learner’s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receipt of a person’s conviction of fraud related to the issuance of the commercial driver’s license or commercial learner’s permit, the department shall disqualify the person’s commercial driver’s license or commercial learner’s permit for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credible evidence that a person is suspected of committing fraud relating to the issuance of a commercial driver’s license or a commercial learner’s permit, the department shall notify the person of the requirement to retake the applicable knowledge or skills test. Within 30 days of receiving notice from the department, the person is required to contact the department to retake the knowledge or skills test. If the person fails to contact the department within 30 days after the notice, or the person fails the knowledge or skills test, or does not take the test, the department shall disqualify the person’s commercial driver’s license or commercial learner’s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Once a person’s commercial driver’s license or commercial learner’s permit has been disqualified, the person must reapply following the usual procedures as provided in Iowa Code section </w:t>
      </w:r>
      <w:hyperlink r:id="rId163">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6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 </w:t>
      </w:r>
      <w:hyperlink r:id="rId165">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2530C</w:t>
      </w:r>
      <w:r>
        <w:rPr>
          <w:rFonts w:ascii="Times New Roman" w:hAnsi="Times New Roman"/>
          <w:b w:val="false"/>
          <w:i w:val="false"/>
          <w:color w:val="000000"/>
          <w:sz w:val="16"/>
        </w:rPr>
        <w:t>, IAB 5/11/16, effective 6/15/16</w:t>
      </w:r>
      <w:r>
        <w:rPr>
          <w:rFonts w:ascii="Times New Roman" w:hAnsi="Times New Roman"/>
          <w:b w:val="false"/>
          <w:i w:val="false"/>
          <w:color w:val="000000"/>
          <w:sz w:val="16"/>
        </w:rPr>
        <w:t xml:space="preserve">; </w:t>
      </w:r>
      <w:r>
        <w:rPr>
          <w:rFonts w:ascii="Times New Roman" w:hAnsi="Times New Roman"/>
          <w:b/>
          <w:i w:val="false"/>
          <w:color w:val="000000"/>
          <w:sz w:val="16"/>
        </w:rPr>
        <w:t>ARC 4986C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761—607.40</w:t>
      </w:r>
      <w:r>
        <w:rPr>
          <w:rFonts w:ascii="Times New Roman" w:hAnsi="Times New Roman"/>
          <w:b/>
          <w:i w:val="false"/>
          <w:color w:val="000000"/>
          <w:sz w:val="22"/>
        </w:rPr>
        <w:t xml:space="preserve">(321) </w:t>
      </w:r>
      <w:r>
        <w:rPr>
          <w:rFonts w:ascii="Times New Roman" w:hAnsi="Times New Roman"/>
          <w:b/>
          <w:i w:val="false"/>
          <w:color w:val="000000"/>
          <w:sz w:val="22"/>
        </w:rPr>
        <w:t xml:space="preserve">Sanctions. </w:t>
      </w:r>
      <w:r>
        <w:rPr>
          <w:rFonts w:ascii="Times New Roman" w:hAnsi="Times New Roman"/>
          <w:b w:val="false"/>
          <w:i w:val="false"/>
          <w:color w:val="000000"/>
          <w:sz w:val="22"/>
        </w:rPr>
        <w:t>When a person’s motor vehicle license is denied, canceled, suspended, revoked or barred, the person is also disqualified from operating a commercial motor vehicle.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6">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761—607.41</w:t>
      </w:r>
      <w:r>
        <w:rPr>
          <w:rFonts w:ascii="Times New Roman" w:hAnsi="Times New Roman"/>
          <w:b w:val="false"/>
          <w:i w:val="false"/>
          <w:color w:val="000000"/>
          <w:sz w:val="22"/>
        </w:rPr>
        <w:t xml:space="preserve"> to </w:t>
      </w:r>
      <w:r>
        <w:rPr>
          <w:rFonts w:ascii="Times New Roman" w:hAnsi="Times New Roman"/>
          <w:b/>
          <w:i w:val="false"/>
          <w:color w:val="000000"/>
          <w:sz w:val="22"/>
        </w:rPr>
        <w:t>607.44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761—607.45</w:t>
      </w:r>
      <w:r>
        <w:rPr>
          <w:rFonts w:ascii="Times New Roman" w:hAnsi="Times New Roman"/>
          <w:b/>
          <w:i w:val="false"/>
          <w:color w:val="000000"/>
          <w:sz w:val="22"/>
        </w:rPr>
        <w:t xml:space="preserve">(321) </w:t>
      </w:r>
      <w:r>
        <w:rPr>
          <w:rFonts w:ascii="Times New Roman" w:hAnsi="Times New Roman"/>
          <w:b/>
          <w:i w:val="false"/>
          <w:color w:val="000000"/>
          <w:sz w:val="22"/>
        </w:rPr>
        <w:t xml:space="preserve">Reinstatement. </w:t>
      </w:r>
      <w:r>
        <w:rPr>
          <w:rFonts w:ascii="Times New Roman" w:hAnsi="Times New Roman"/>
          <w:b w:val="false"/>
          <w:i w:val="false"/>
          <w:color w:val="000000"/>
          <w:sz w:val="22"/>
        </w:rPr>
        <w:t>To reinstate a commercial driver’s license after completion of a period of disqualification, a person shall appear at a driver’s license service center. The person must also meet the vision standards for licensing, pass the applicable knowledge test(s) and the skills test, and pay the required reinstatement fee and the fees for a new license.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7">
        <w:r>
          <w:rPr>
            <w:rStyle w:val="Hyperlink"/>
            <w:rFonts w:ascii="Times New Roman" w:hAnsi="Times New Roman"/>
            <w:b w:val="false"/>
            <w:i w:val="false"/>
            <w:color w:val="000000"/>
            <w:sz w:val="22"/>
          </w:rPr>
          <w:t>321.191</w:t>
        </w:r>
      </w:hyperlink>
      <w:r>
        <w:rPr>
          <w:rFonts w:ascii="Times New Roman" w:hAnsi="Times New Roman"/>
          <w:b w:val="false"/>
          <w:i w:val="false"/>
          <w:color w:val="000000"/>
          <w:sz w:val="22"/>
        </w:rPr>
        <w:t xml:space="preserve"> and </w:t>
      </w:r>
      <w:hyperlink r:id="rId168">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4986C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761—607.46</w:t>
      </w:r>
      <w:r>
        <w:rPr>
          <w:rFonts w:ascii="Times New Roman" w:hAnsi="Times New Roman"/>
          <w:b w:val="false"/>
          <w:i w:val="false"/>
          <w:color w:val="000000"/>
          <w:sz w:val="22"/>
        </w:rPr>
        <w:t xml:space="preserve"> to </w:t>
      </w:r>
      <w:r>
        <w:rPr>
          <w:rFonts w:ascii="Times New Roman" w:hAnsi="Times New Roman"/>
          <w:b/>
          <w:i w:val="false"/>
          <w:color w:val="000000"/>
          <w:sz w:val="22"/>
        </w:rPr>
        <w:t>607.48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761—607.49</w:t>
      </w:r>
      <w:r>
        <w:rPr>
          <w:rFonts w:ascii="Times New Roman" w:hAnsi="Times New Roman"/>
          <w:b/>
          <w:i w:val="false"/>
          <w:color w:val="000000"/>
          <w:sz w:val="22"/>
        </w:rPr>
        <w:t xml:space="preserve">(321) </w:t>
      </w:r>
      <w:r>
        <w:rPr>
          <w:rFonts w:ascii="Times New Roman" w:hAnsi="Times New Roman"/>
          <w:b/>
          <w:i w:val="false"/>
          <w:color w:val="000000"/>
          <w:sz w:val="22"/>
        </w:rPr>
        <w:t xml:space="preserve">Restricted commercial driver’s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607.49(1)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This rule pertains to the issuance of restricted commercial driver’s licenses to employees of the following designated farm-related service industries: agrichemical businesses, custom harvesters, farm retail outlets and suppliers and livestock feeders as permitted by 49 CFR 383.3(f). A restricted commercial driver’s license shall meet all requirements of a regular commercial driver’s license, as set out in Iowa Code chapter </w:t>
      </w:r>
      <w:hyperlink r:id="rId169">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and this chapter, except as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607.49(2)</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restricted commercial driver’s license allows the licensee to drive a commercial motor vehicle for agricultural input purposes. The license is valid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Operate Group B and Group C commercial motor vehicles including tank vehicles and vehicles equipped with air brakes, except passenger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Transport the hazardous materials listed in paragraph </w:t>
      </w:r>
      <w:hyperlink r:id="rId170">
        <w:r>
          <w:rPr>
            <w:rStyle w:val="Hyperlink"/>
            <w:rFonts w:ascii="Times New Roman" w:hAnsi="Times New Roman"/>
            <w:b w:val="false"/>
            <w:i w:val="false"/>
            <w:color w:val="000000"/>
            <w:sz w:val="22"/>
          </w:rPr>
          <w:t>607.49(2)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Operate only during the current, validated seasonal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Operate between the employer’s place of business and the farm currently being served, not to exceed 150 miles.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restricted commercial driver’s license is not valid for transporting hazardous materials requiring placarding, except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Liquid fertilizers such as anhydrous ammonia may be transported in vehicles or implements of husbandry with total capacities of 3,000 gallons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Solid fertilizers such as ammonium nitrate may be transported provided they are not mixed with any organic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hazardous material endorsement is not needed to transport the products listed in the preceding subparagraphs.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not driving for agricultural input purposes, the license is valid for operating a noncommercial motor vehicle that may be legally operated under the noncommercial license held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607.49(3)</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must have two years of previous driving experience. This means that the applicant must have held a license that permits unaccompanied driving for at least two years. This does not include a motorized bicycle license, a minor’s school license or a minor’s restricted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have a good driving record for the most recent two-year period, as defined in subrule </w:t>
      </w:r>
      <w:hyperlink r:id="rId171">
        <w:r>
          <w:rPr>
            <w:rStyle w:val="Hyperlink"/>
            <w:rFonts w:ascii="Times New Roman" w:hAnsi="Times New Roman"/>
            <w:b w:val="false"/>
            <w:i w:val="false"/>
            <w:color w:val="000000"/>
            <w:sz w:val="22"/>
          </w:rPr>
          <w:t>607.49(4)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who currently holds an unrestricted commercial driver’s license is not eligible for issuance of a restricted 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607.49(4)</w:t>
      </w:r>
      <w:r>
        <w:rPr>
          <w:rFonts w:ascii="Times New Roman" w:hAnsi="Times New Roman"/>
          <w:b w:val="false"/>
          <w:i w:val="false"/>
          <w:color w:val="000000"/>
          <w:sz w:val="22"/>
        </w:rPr>
        <w:t> </w:t>
      </w:r>
      <w:r>
        <w:rPr>
          <w:rFonts w:ascii="Times New Roman" w:hAnsi="Times New Roman"/>
          <w:b w:val="false"/>
          <w:i/>
          <w:color w:val="000000"/>
          <w:sz w:val="22"/>
        </w:rPr>
        <w:t xml:space="preserve">Good driving record. </w:t>
      </w:r>
      <w:r>
        <w:rPr>
          <w:rFonts w:ascii="Times New Roman" w:hAnsi="Times New Roman"/>
          <w:b w:val="false"/>
          <w:i w:val="false"/>
          <w:color w:val="000000"/>
          <w:sz w:val="22"/>
        </w:rPr>
        <w:t>A “good driving record” means a driving record showing: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multiple 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driver’s license suspensions, revocations, disqualifications, denials, bars, or cancellations of any kind.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convictions in any type of motor vehicle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Driving under the influence of alcohol or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Leaving the scene of an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Committing any felony involving a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Speeding 15 miles per hour or more over the posted speed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Reckless driving, drag racing, or eluding or attempting to elude a law enforcement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Improper or erratic lane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Following too closely.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moving violation that contributed to a motor vehicle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A violation deemed serious under rule </w:t>
      </w:r>
      <w:hyperlink r:id="rId172">
        <w:r>
          <w:rPr>
            <w:rStyle w:val="Hyperlink"/>
            <w:rFonts w:ascii="Times New Roman" w:hAnsi="Times New Roman"/>
            <w:b w:val="false"/>
            <w:i w:val="false"/>
            <w:color w:val="000000"/>
            <w:sz w:val="22"/>
          </w:rPr>
          <w:t>761—615.17</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 record of contributive accidents, as defined in rule </w:t>
      </w:r>
      <w:hyperlink r:id="rId173">
        <w:r>
          <w:rPr>
            <w:rStyle w:val="Hyperlink"/>
            <w:rFonts w:ascii="Times New Roman" w:hAnsi="Times New Roman"/>
            <w:b w:val="false"/>
            <w:i w:val="false"/>
            <w:color w:val="000000"/>
            <w:sz w:val="22"/>
          </w:rPr>
          <w:t>761—615.1</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607.49(5)</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knowledge and skills tests described in rules </w:t>
      </w:r>
      <w:hyperlink r:id="rId174">
        <w:r>
          <w:rPr>
            <w:rStyle w:val="Hyperlink"/>
            <w:rFonts w:ascii="Times New Roman" w:hAnsi="Times New Roman"/>
            <w:b w:val="false"/>
            <w:i w:val="false"/>
            <w:color w:val="000000"/>
            <w:sz w:val="22"/>
          </w:rPr>
          <w:t>761—607.27</w:t>
        </w:r>
      </w:hyperlink>
      <w:r>
        <w:rPr>
          <w:rFonts w:ascii="Times New Roman" w:hAnsi="Times New Roman"/>
          <w:b w:val="false"/>
          <w:i w:val="false"/>
          <w:color w:val="000000"/>
          <w:sz w:val="22"/>
        </w:rPr>
        <w:t xml:space="preserve">(321) and </w:t>
      </w:r>
      <w:hyperlink r:id="rId175">
        <w:r>
          <w:rPr>
            <w:rStyle w:val="Hyperlink"/>
            <w:rFonts w:ascii="Times New Roman" w:hAnsi="Times New Roman"/>
            <w:b w:val="false"/>
            <w:i w:val="false"/>
            <w:color w:val="000000"/>
            <w:sz w:val="22"/>
          </w:rPr>
          <w:t>761—607.28</w:t>
        </w:r>
      </w:hyperlink>
      <w:r>
        <w:rPr>
          <w:rFonts w:ascii="Times New Roman" w:hAnsi="Times New Roman"/>
          <w:b w:val="false"/>
          <w:i w:val="false"/>
          <w:color w:val="000000"/>
          <w:sz w:val="22"/>
        </w:rPr>
        <w:t>(321) are waived.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restricted commercial driver’s license shall be coded with restriction “W” on the face of the driver’s license, with the restriction explained in text on the back of the driver’s license. In addition, the license shall be issued with a restriction stating the license’s period of validity.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expiration date for a restricted commercial driver’s license that is converted to this license from another Iowa license shall carry the same expiration date as the previous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restricted commercial driver’s license may be renewed for the period of time specified in Iowa Code section </w:t>
      </w:r>
      <w:hyperlink r:id="rId176">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 The licensee’s good driving record shall be confirmed at the time of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for a restricted commercial driver’s license shall be as specified in Iowa Code section </w:t>
      </w:r>
      <w:hyperlink r:id="rId177">
        <w:r>
          <w:rPr>
            <w:rStyle w:val="Hyperlink"/>
            <w:rFonts w:ascii="Times New Roman" w:hAnsi="Times New Roman"/>
            <w:b w:val="false"/>
            <w:i w:val="false"/>
            <w:color w:val="000000"/>
            <w:sz w:val="22"/>
          </w:rPr>
          <w:t>321.191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On or after January 1, 2023, a licensee may have up to three individual periods of validity for a restricted commercial driver’s license, provided the cumulative period of validity for all individual periods does not exceed 210 days in any calendar year. An individual period of validity may be 70, 105, or 210 consecutive days, at the election of the licensee. A licensee may add 35 days to an individual period of validity by applying for an extension, subject to the 210-day cumulative maximum period of validity. A request for extension must be made no later than the date of expiration of the individual period of validity for which an extension is requested; a request for extension made after that date shall be treated as a request for a new individual period of validity. An extension shall be calculated from the date of expiration of the individual period of validity for which an extension is requested. Any period of validity authorized previously by another state’s license shall be considered a part of the 210-day cumulative maximum period of validity.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restricted commercial driver’s license must be validated for commercial motor vehicle operation for each individual period of validity. This means that the applicant/licensee must have the person’s good driving record confirmed at each application for an individual period of validity. Upon confirmation, the department shall issue a replacement license with a restriction validating the license for that individual period of validity, provided the person is otherwise eligible for the license. The fee for a replacement license shall be as specified in Iowa Code section </w:t>
      </w:r>
      <w:hyperlink r:id="rId178">
        <w:r>
          <w:rPr>
            <w:rStyle w:val="Hyperlink"/>
            <w:rFonts w:ascii="Times New Roman" w:hAnsi="Times New Roman"/>
            <w:b w:val="false"/>
            <w:i w:val="false"/>
            <w:color w:val="000000"/>
            <w:sz w:val="22"/>
          </w:rPr>
          <w:t>321.195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same process must be repeated for each individual period of validity within a calendar year.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9">
        <w:r>
          <w:rPr>
            <w:rStyle w:val="Hyperlink"/>
            <w:rFonts w:ascii="Times New Roman" w:hAnsi="Times New Roman"/>
            <w:b w:val="false"/>
            <w:i w:val="false"/>
            <w:color w:val="000000"/>
            <w:sz w:val="22"/>
          </w:rPr>
          <w:t>321.176B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2071C</w:t>
      </w:r>
      <w:r>
        <w:rPr>
          <w:rFonts w:ascii="Times New Roman" w:hAnsi="Times New Roman"/>
          <w:b w:val="false"/>
          <w:i w:val="false"/>
          <w:color w:val="000000"/>
          <w:sz w:val="16"/>
        </w:rPr>
        <w:t>, IAB 8/5/15, effective 7/14/15</w:t>
      </w:r>
      <w:r>
        <w:rPr>
          <w:rFonts w:ascii="Times New Roman" w:hAnsi="Times New Roman"/>
          <w:b w:val="false"/>
          <w:i w:val="false"/>
          <w:color w:val="000000"/>
          <w:sz w:val="16"/>
        </w:rPr>
        <w:t xml:space="preserve">; </w:t>
      </w:r>
      <w:r>
        <w:rPr>
          <w:rFonts w:ascii="Times New Roman" w:hAnsi="Times New Roman"/>
          <w:b/>
          <w:i w:val="false"/>
          <w:color w:val="000000"/>
          <w:sz w:val="16"/>
        </w:rPr>
        <w:t>ARC 2337C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 xml:space="preserve">; </w:t>
      </w:r>
      <w:r>
        <w:rPr>
          <w:rFonts w:ascii="Times New Roman" w:hAnsi="Times New Roman"/>
          <w:b/>
          <w:i w:val="false"/>
          <w:color w:val="000000"/>
          <w:sz w:val="16"/>
        </w:rPr>
        <w:t>ARC 2530C</w:t>
      </w:r>
      <w:r>
        <w:rPr>
          <w:rFonts w:ascii="Times New Roman" w:hAnsi="Times New Roman"/>
          <w:b w:val="false"/>
          <w:i w:val="false"/>
          <w:color w:val="000000"/>
          <w:sz w:val="16"/>
        </w:rPr>
        <w:t>, IAB 5/11/16, effective 6/15/16</w:t>
      </w:r>
      <w:r>
        <w:rPr>
          <w:rFonts w:ascii="Times New Roman" w:hAnsi="Times New Roman"/>
          <w:b w:val="false"/>
          <w:i w:val="false"/>
          <w:color w:val="000000"/>
          <w:sz w:val="16"/>
        </w:rPr>
        <w:t xml:space="preserve">; </w:t>
      </w:r>
      <w:r>
        <w:rPr>
          <w:rFonts w:ascii="Times New Roman" w:hAnsi="Times New Roman"/>
          <w:b/>
          <w:i w:val="false"/>
          <w:color w:val="000000"/>
          <w:sz w:val="16"/>
        </w:rPr>
        <w:t>ARC 4986C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6970C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 xml:space="preserve">; </w:t>
      </w:r>
      <w:r>
        <w:rPr>
          <w:rFonts w:ascii="Times New Roman" w:hAnsi="Times New Roman"/>
          <w:b/>
          <w:i w:val="false"/>
          <w:color w:val="000000"/>
          <w:sz w:val="16"/>
        </w:rPr>
        <w:t>ARC 7747C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761—607.50</w:t>
      </w:r>
      <w:r>
        <w:rPr>
          <w:rFonts w:ascii="Times New Roman" w:hAnsi="Times New Roman"/>
          <w:b/>
          <w:i w:val="false"/>
          <w:color w:val="000000"/>
          <w:sz w:val="22"/>
        </w:rPr>
        <w:t xml:space="preserve">(321) </w:t>
      </w:r>
      <w:r>
        <w:rPr>
          <w:rFonts w:ascii="Times New Roman" w:hAnsi="Times New Roman"/>
          <w:b/>
          <w:i w:val="false"/>
          <w:color w:val="000000"/>
          <w:sz w:val="22"/>
        </w:rPr>
        <w:t xml:space="preserve">Self-certification of type of driving and submission of medical examiner’s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607.50(1)</w:t>
      </w:r>
      <w:r>
        <w:rPr>
          <w:rFonts w:ascii="Times New Roman" w:hAnsi="Times New Roman"/>
          <w:b w:val="false"/>
          <w:i w:val="false"/>
          <w:color w:val="000000"/>
          <w:sz w:val="22"/>
        </w:rPr>
        <w:t> </w:t>
      </w:r>
      <w:r>
        <w:rPr>
          <w:rFonts w:ascii="Times New Roman" w:hAnsi="Times New Roman"/>
          <w:b w:val="false"/>
          <w:i/>
          <w:color w:val="000000"/>
          <w:sz w:val="22"/>
        </w:rPr>
        <w:t xml:space="preserve">Applicants for commercial learner’s permit, restricted CDL, or new, transferred, renewed or upgraded CDL.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shall provide to the department a self-certification of type of driving if the person is applying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commercial learner’s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initial 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transfer of a commercial driver’s license from a prior state of domicile to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Renewal of a commercial driver’s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license upgrade for a commercial driver’s license or an endorsement authorizing the operation of a commercial motor vehicle not covered by the current commercial driver’s license,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restricted 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self-certification shall be on a form or in a format, which may be electronic, as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607.50(2)</w:t>
      </w:r>
      <w:r>
        <w:rPr>
          <w:rFonts w:ascii="Times New Roman" w:hAnsi="Times New Roman"/>
          <w:b w:val="false"/>
          <w:i w:val="false"/>
          <w:color w:val="000000"/>
          <w:sz w:val="22"/>
        </w:rPr>
        <w:t> </w:t>
      </w:r>
      <w:r>
        <w:rPr>
          <w:rFonts w:ascii="Times New Roman" w:hAnsi="Times New Roman"/>
          <w:b w:val="false"/>
          <w:i/>
          <w:color w:val="000000"/>
          <w:sz w:val="22"/>
        </w:rPr>
        <w:t xml:space="preserve">Submission of medical examiner’s certificate by persons certifying to non-excepted interstate driving. </w:t>
      </w:r>
      <w:r>
        <w:rPr>
          <w:rFonts w:ascii="Times New Roman" w:hAnsi="Times New Roman"/>
          <w:b w:val="false"/>
          <w:i w:val="false"/>
          <w:color w:val="000000"/>
          <w:sz w:val="22"/>
        </w:rPr>
        <w:t xml:space="preserve">Every person who self-certifies to non-excepted interstate driving must give the department a copy of the person’s current medical examiner’s certificate, unless the person’s medical examiner’s certificate is provided to the department electronically by the Federal Motor Carrier Safety Administration. The department shall not issue, transfer, renew, or upgrade a license until the department receives a medical examiner’s certificate that complies with the requirements of this subrule, or unless the person changes the person’s self-certification of type of driving to a type other than non-excepted interstate driving. When the department receives a current medical examiner’s certificate, the department shall post a medical certification status of “certified” on the person’s CDLIS driver’s record. A person who self-certifies to a type of driving other than non-excepted interstate shall have no medical certification status on the CDLIS driver’s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607.50(3)</w:t>
      </w:r>
      <w:r>
        <w:rPr>
          <w:rFonts w:ascii="Times New Roman" w:hAnsi="Times New Roman"/>
          <w:b w:val="false"/>
          <w:i w:val="false"/>
          <w:color w:val="000000"/>
          <w:sz w:val="22"/>
        </w:rPr>
        <w:t> </w:t>
      </w:r>
      <w:r>
        <w:rPr>
          <w:rFonts w:ascii="Times New Roman" w:hAnsi="Times New Roman"/>
          <w:b w:val="false"/>
          <w:i/>
          <w:color w:val="000000"/>
          <w:sz w:val="22"/>
        </w:rPr>
        <w:t xml:space="preserve">Maintaining certified status. </w:t>
      </w:r>
      <w:r>
        <w:rPr>
          <w:rFonts w:ascii="Times New Roman" w:hAnsi="Times New Roman"/>
          <w:b w:val="false"/>
          <w:i w:val="false"/>
          <w:color w:val="000000"/>
          <w:sz w:val="22"/>
        </w:rPr>
        <w:t xml:space="preserve">To maintain a medical certification status of “certified,” a person who self-certifies to non-excepted interstate driving must give the department a copy of each subsequently issued medical examiner’s certificate valid for the person unless the person’s medical examiner’s certificate is provided to the department electronically by the Federal Motor Carrier Safety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607.50(4)</w:t>
      </w:r>
      <w:r>
        <w:rPr>
          <w:rFonts w:ascii="Times New Roman" w:hAnsi="Times New Roman"/>
          <w:b w:val="false"/>
          <w:i w:val="false"/>
          <w:color w:val="000000"/>
          <w:sz w:val="22"/>
        </w:rPr>
        <w:t> </w:t>
      </w:r>
      <w:r>
        <w:rPr>
          <w:rFonts w:ascii="Times New Roman" w:hAnsi="Times New Roman"/>
          <w:b w:val="false"/>
          <w:i/>
          <w:color w:val="000000"/>
          <w:sz w:val="22"/>
        </w:rPr>
        <w:t xml:space="preserve">CDL downgrade. </w:t>
      </w:r>
      <w:r>
        <w:rPr>
          <w:rFonts w:ascii="Times New Roman" w:hAnsi="Times New Roman"/>
          <w:b w:val="false"/>
          <w:i w:val="false"/>
          <w:color w:val="000000"/>
          <w:sz w:val="22"/>
        </w:rPr>
        <w:t xml:space="preserve">If the medical examiner’s certificate or medical variance for a person self-certifying to non-excepted interstate driving expires or if the Federal Motor Carrier Safety Administration notifies the department that the person’s medical variance was removed or rescinded, the department shall post a medical certification status of “not certified” to the person’s CDLIS driver’s record and shall initiate a downgrade of the person’s commercial driver’s license or commercial learner’s permit. The medical examiner’s certificate of a person who fails to maintain a medical certification status of “certified” as required by subrule </w:t>
      </w:r>
      <w:hyperlink r:id="rId180">
        <w:r>
          <w:rPr>
            <w:rStyle w:val="Hyperlink"/>
            <w:rFonts w:ascii="Times New Roman" w:hAnsi="Times New Roman"/>
            <w:b w:val="false"/>
            <w:i w:val="false"/>
            <w:color w:val="000000"/>
            <w:sz w:val="22"/>
          </w:rPr>
          <w:t>607.50(3)</w:t>
        </w:r>
      </w:hyperlink>
      <w:r>
        <w:rPr>
          <w:rFonts w:ascii="Times New Roman" w:hAnsi="Times New Roman"/>
          <w:b w:val="false"/>
          <w:i w:val="false"/>
          <w:color w:val="000000"/>
          <w:sz w:val="22"/>
        </w:rPr>
        <w:t xml:space="preserve"> shall be deemed to be expired on the date of expiration of the last medical examiner’s certificate filed for the person as shown by the person’s CDLIS driver’s record. The downgrade will be initiated and completed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give the person written notice that the person’s medical certification status is “not certified” and that the commercial motor vehicle privileges will be removed from the person’s commercial driver’s license or commercial learner’s permit 60 days after the date the medical examiner’s certificate or medical variance expired or the medical variance was removed or rescinded unless the department receives a current medical certificate or medical variance or the person self-certifies to a type of driving other than non-excepted interstate.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department receives a current medical examiner’s certificate or medical variance before the end of the 60-day period, the department shall post a medical certification status of “certified” on the person’s CDLIS driver’s record and shall terminate the downgrade of the person’s commercial driver’s license or commercial learner’s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person self-certifies to a type of driving other than non-excepted interstate before the end of the 60-day period, the department shall not remove the commercial motor vehicle privileges from the person’s commercial driver’s license or commercial learner’s permit, and the person will have no medical certification status on the person’s CDLIS driver’s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requirements in either paragraph </w:t>
      </w:r>
      <w:hyperlink r:id="rId181">
        <w:r>
          <w:rPr>
            <w:rStyle w:val="Hyperlink"/>
            <w:rFonts w:ascii="Times New Roman" w:hAnsi="Times New Roman"/>
            <w:b w:val="false"/>
            <w:i w:val="false"/>
            <w:color w:val="000000"/>
            <w:sz w:val="22"/>
          </w:rPr>
          <w:t>607.50(4)</w:t>
        </w:r>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hyperlink>
      <w:r>
        <w:rPr>
          <w:rFonts w:ascii="Times New Roman" w:hAnsi="Times New Roman"/>
          <w:b w:val="false"/>
          <w:i w:val="false"/>
          <w:color w:val="000000"/>
          <w:sz w:val="22"/>
        </w:rPr>
        <w:t xml:space="preserve"> are not met before the end of the 60-day period, the department shall remove the commercial motor vehicle privileges from the person’s commercial driver’s license or commercial learner’s permit and shall leave the person’s medical certification status as “not certified” on the person’s CDLIS driver’s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607.50(5)</w:t>
      </w:r>
      <w:r>
        <w:rPr>
          <w:rFonts w:ascii="Times New Roman" w:hAnsi="Times New Roman"/>
          <w:b w:val="false"/>
          <w:i w:val="false"/>
          <w:color w:val="000000"/>
          <w:sz w:val="22"/>
        </w:rPr>
        <w:t> </w:t>
      </w:r>
      <w:r>
        <w:rPr>
          <w:rFonts w:ascii="Times New Roman" w:hAnsi="Times New Roman"/>
          <w:b w:val="false"/>
          <w:i/>
          <w:color w:val="000000"/>
          <w:sz w:val="22"/>
        </w:rPr>
        <w:t xml:space="preserve">Establishment or reestablishment of “certified” status. </w:t>
      </w:r>
      <w:r>
        <w:rPr>
          <w:rFonts w:ascii="Times New Roman" w:hAnsi="Times New Roman"/>
          <w:b w:val="false"/>
          <w:i w:val="false"/>
          <w:color w:val="000000"/>
          <w:sz w:val="22"/>
        </w:rPr>
        <w:t>A person who has no medical certification status or whose medical certification status has been posted as “not certified” on the person’s CDLIS driver’s record may have the person’s status established or reestablished as “certified” if the department receives a current medical examiner’s certificate or medical variance. A person who has failed to self-certify to a type of driving or has self-certified to a type of driving other than non-excepted interstate must also make a self-certification of type of driving to non-excepted interstate driving. The department shall then post a medical certification status of “certified” on the person’s CDLIS driver’s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607.50(6)</w:t>
      </w:r>
      <w:r>
        <w:rPr>
          <w:rFonts w:ascii="Times New Roman" w:hAnsi="Times New Roman"/>
          <w:b w:val="false"/>
          <w:i w:val="false"/>
          <w:color w:val="000000"/>
          <w:sz w:val="22"/>
        </w:rPr>
        <w:t> </w:t>
      </w:r>
      <w:r>
        <w:rPr>
          <w:rFonts w:ascii="Times New Roman" w:hAnsi="Times New Roman"/>
          <w:b w:val="false"/>
          <w:i/>
          <w:color w:val="000000"/>
          <w:sz w:val="22"/>
        </w:rPr>
        <w:t xml:space="preserve">Reestablishment of the CDL privilege. </w:t>
      </w:r>
      <w:r>
        <w:rPr>
          <w:rFonts w:ascii="Times New Roman" w:hAnsi="Times New Roman"/>
          <w:b w:val="false"/>
          <w:i w:val="false"/>
          <w:color w:val="000000"/>
          <w:sz w:val="22"/>
        </w:rPr>
        <w:t xml:space="preserve">A person whose commercial motor vehicle privileges have been removed from the person’s commercial driver’s license or commercial learner’s permit under the provisions of paragraph </w:t>
      </w:r>
      <w:hyperlink r:id="rId182">
        <w:r>
          <w:rPr>
            <w:rStyle w:val="Hyperlink"/>
            <w:rFonts w:ascii="Times New Roman" w:hAnsi="Times New Roman"/>
            <w:b w:val="false"/>
            <w:i w:val="false"/>
            <w:color w:val="000000"/>
            <w:sz w:val="22"/>
          </w:rPr>
          <w:t>607.50(4)</w:t>
        </w:r>
        <w:r>
          <w:rPr>
            <w:rFonts w:ascii="Times New Roman" w:hAnsi="Times New Roman"/>
            <w:b w:val="false"/>
            <w:i/>
            <w:color w:val="000000"/>
            <w:sz w:val="22"/>
          </w:rPr>
          <w:t>“d”</w:t>
        </w:r>
      </w:hyperlink>
      <w:r>
        <w:rPr>
          <w:rFonts w:ascii="Times New Roman" w:hAnsi="Times New Roman"/>
          <w:b w:val="false"/>
          <w:i w:val="false"/>
          <w:color w:val="000000"/>
          <w:sz w:val="22"/>
        </w:rPr>
        <w:t xml:space="preserve"> may have the person’s commercial motor vehicle privileges reestablished if either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receives the person’s current medical examiner’s certificate or medical variance. A person who has failed to self-certify to a type of driving must also make an initial self-certification of type of driving to non-excepted interstate driving. The department shall then post a medical certification status of “certified” on the person’s CDLIS driver’s record and reestablish the commercial motor vehicle privileges, provided that the person otherwise remains eligible for a commercial driver’s license or commercial learner’s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self-certifies to a type of driving other than non-excepted interstate. The department shall then reestablish the commercial motor vehicle privileges, provided that the person otherwise remains eligible for a commercial driver’s license or commercial learner’s permit; the person will have no medical certification status on the driver’s CDLIS driver’s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607.50(7)</w:t>
      </w:r>
      <w:r>
        <w:rPr>
          <w:rFonts w:ascii="Times New Roman" w:hAnsi="Times New Roman"/>
          <w:b w:val="false"/>
          <w:i w:val="false"/>
          <w:color w:val="000000"/>
          <w:sz w:val="22"/>
        </w:rPr>
        <w:t> </w:t>
      </w:r>
      <w:r>
        <w:rPr>
          <w:rFonts w:ascii="Times New Roman" w:hAnsi="Times New Roman"/>
          <w:b w:val="false"/>
          <w:i/>
          <w:color w:val="000000"/>
          <w:sz w:val="22"/>
        </w:rPr>
        <w:t xml:space="preserve">Change of type of driving. </w:t>
      </w:r>
      <w:r>
        <w:rPr>
          <w:rFonts w:ascii="Times New Roman" w:hAnsi="Times New Roman"/>
          <w:b w:val="false"/>
          <w:i w:val="false"/>
          <w:color w:val="000000"/>
          <w:sz w:val="22"/>
        </w:rPr>
        <w:t xml:space="preserve">A person may change the person’s self-certification of type of driving at any time. As required by subrule </w:t>
      </w:r>
      <w:hyperlink r:id="rId183">
        <w:r>
          <w:rPr>
            <w:rStyle w:val="Hyperlink"/>
            <w:rFonts w:ascii="Times New Roman" w:hAnsi="Times New Roman"/>
            <w:b w:val="false"/>
            <w:i w:val="false"/>
            <w:color w:val="000000"/>
            <w:sz w:val="22"/>
          </w:rPr>
          <w:t>607.50(2)</w:t>
        </w:r>
      </w:hyperlink>
      <w:r>
        <w:rPr>
          <w:rFonts w:ascii="Times New Roman" w:hAnsi="Times New Roman"/>
          <w:b w:val="false"/>
          <w:i w:val="false"/>
          <w:color w:val="000000"/>
          <w:sz w:val="22"/>
        </w:rPr>
        <w:t>, the department must receive a copy of the person’s current medical examiner’s certificate prepared by a medical examiner for a person certifying to non-excepted interstate driving.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607.50(8)</w:t>
      </w:r>
      <w:r>
        <w:rPr>
          <w:rFonts w:ascii="Times New Roman" w:hAnsi="Times New Roman"/>
          <w:b w:val="false"/>
          <w:i w:val="false"/>
          <w:color w:val="000000"/>
          <w:sz w:val="22"/>
        </w:rPr>
        <w:t> </w:t>
      </w:r>
      <w:r>
        <w:rPr>
          <w:rFonts w:ascii="Times New Roman" w:hAnsi="Times New Roman"/>
          <w:b w:val="false"/>
          <w:i/>
          <w:color w:val="000000"/>
          <w:sz w:val="22"/>
        </w:rPr>
        <w:t xml:space="preserve">Record keeping. </w:t>
      </w:r>
      <w:r>
        <w:rPr>
          <w:rFonts w:ascii="Times New Roman" w:hAnsi="Times New Roman"/>
          <w:b w:val="false"/>
          <w:i w:val="false"/>
          <w:color w:val="000000"/>
          <w:sz w:val="22"/>
        </w:rPr>
        <w:t>The department shall comply with the medical record-keeping requirements set forth in 49 CFR Section 383.73.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607.50(9)</w:t>
      </w:r>
      <w:r>
        <w:rPr>
          <w:rFonts w:ascii="Times New Roman" w:hAnsi="Times New Roman"/>
          <w:b w:val="false"/>
          <w:i w:val="false"/>
          <w:color w:val="000000"/>
          <w:sz w:val="22"/>
        </w:rPr>
        <w:t> </w:t>
      </w:r>
      <w:r>
        <w:rPr>
          <w:rFonts w:ascii="Times New Roman" w:hAnsi="Times New Roman"/>
          <w:b w:val="false"/>
          <w:i/>
          <w:color w:val="000000"/>
          <w:sz w:val="22"/>
        </w:rPr>
        <w:t xml:space="preserve">Medical examiner’s certificate conflict. </w:t>
      </w:r>
      <w:r>
        <w:rPr>
          <w:rFonts w:ascii="Times New Roman" w:hAnsi="Times New Roman"/>
          <w:b w:val="false"/>
          <w:i w:val="false"/>
          <w:color w:val="000000"/>
          <w:sz w:val="22"/>
        </w:rPr>
        <w:t>As required by 49 CFR Sections 383.71 and 383.73, in the event of a conflict between the medical certification information provided electronically by the Federal Motor Carrier Safety Administration and a paper copy of the medical examiner’s certificate, the medical certification information provided electronically by the Federal Motor Carrier Safety Administration shall supersede.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4">
        <w:r>
          <w:rPr>
            <w:rStyle w:val="Hyperlink"/>
            <w:rFonts w:ascii="Times New Roman" w:hAnsi="Times New Roman"/>
            <w:b w:val="false"/>
            <w:i w:val="false"/>
            <w:color w:val="000000"/>
            <w:sz w:val="22"/>
          </w:rPr>
          <w:t>321.182</w:t>
        </w:r>
      </w:hyperlink>
      <w:r>
        <w:rPr>
          <w:rFonts w:ascii="Times New Roman" w:hAnsi="Times New Roman"/>
          <w:b w:val="false"/>
          <w:i w:val="false"/>
          <w:color w:val="000000"/>
          <w:sz w:val="22"/>
        </w:rPr>
        <w:t xml:space="preserve">, </w:t>
      </w:r>
      <w:hyperlink r:id="rId185">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and </w:t>
      </w:r>
      <w:hyperlink r:id="rId186">
        <w:r>
          <w:rPr>
            <w:rStyle w:val="Hyperlink"/>
            <w:rFonts w:ascii="Times New Roman" w:hAnsi="Times New Roman"/>
            <w:b w:val="false"/>
            <w:i w:val="false"/>
            <w:color w:val="000000"/>
            <w:sz w:val="22"/>
          </w:rPr>
          <w:t>321.207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9954B</w:t>
      </w:r>
      <w:r>
        <w:rPr>
          <w:rFonts w:ascii="Times New Roman" w:hAnsi="Times New Roman"/>
          <w:b w:val="false"/>
          <w:i w:val="false"/>
          <w:color w:val="000000"/>
          <w:sz w:val="16"/>
        </w:rPr>
        <w:t>, IAB 1/11/12, effective 1/30/12</w:t>
      </w:r>
      <w:r>
        <w:rPr>
          <w:rFonts w:ascii="Times New Roman" w:hAnsi="Times New Roman"/>
          <w:b w:val="false"/>
          <w:i w:val="false"/>
          <w:color w:val="000000"/>
          <w:sz w:val="16"/>
        </w:rPr>
        <w:t xml:space="preserve">; </w:t>
      </w:r>
      <w:r>
        <w:rPr>
          <w:rFonts w:ascii="Times New Roman" w:hAnsi="Times New Roman"/>
          <w:b/>
          <w:i w:val="false"/>
          <w:color w:val="000000"/>
          <w:sz w:val="16"/>
        </w:rPr>
        <w:t>ARC 0031C</w:t>
      </w:r>
      <w:r>
        <w:rPr>
          <w:rFonts w:ascii="Times New Roman" w:hAnsi="Times New Roman"/>
          <w:b w:val="false"/>
          <w:i w:val="false"/>
          <w:color w:val="000000"/>
          <w:sz w:val="16"/>
        </w:rPr>
        <w:t>, IAB 3/7/12, effective 4/11/12</w:t>
      </w:r>
      <w:r>
        <w:rPr>
          <w:rFonts w:ascii="Times New Roman" w:hAnsi="Times New Roman"/>
          <w:b w:val="false"/>
          <w:i w:val="false"/>
          <w:color w:val="000000"/>
          <w:sz w:val="16"/>
        </w:rPr>
        <w:t xml:space="preserve">; </w:t>
      </w:r>
      <w:r>
        <w:rPr>
          <w:rFonts w:ascii="Times New Roman" w:hAnsi="Times New Roman"/>
          <w:b/>
          <w:i w:val="false"/>
          <w:color w:val="000000"/>
          <w:sz w:val="16"/>
        </w:rPr>
        <w:t>ARC 2071C</w:t>
      </w:r>
      <w:r>
        <w:rPr>
          <w:rFonts w:ascii="Times New Roman" w:hAnsi="Times New Roman"/>
          <w:b w:val="false"/>
          <w:i w:val="false"/>
          <w:color w:val="000000"/>
          <w:sz w:val="16"/>
        </w:rPr>
        <w:t>, IAB 8/5/15, effective 7/14/15</w:t>
      </w:r>
      <w:r>
        <w:rPr>
          <w:rFonts w:ascii="Times New Roman" w:hAnsi="Times New Roman"/>
          <w:b w:val="false"/>
          <w:i w:val="false"/>
          <w:color w:val="000000"/>
          <w:sz w:val="16"/>
        </w:rPr>
        <w:t xml:space="preserve">; </w:t>
      </w:r>
      <w:r>
        <w:rPr>
          <w:rFonts w:ascii="Times New Roman" w:hAnsi="Times New Roman"/>
          <w:b/>
          <w:i w:val="false"/>
          <w:color w:val="000000"/>
          <w:sz w:val="16"/>
        </w:rPr>
        <w:t>ARC 2337C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 xml:space="preserve">; </w:t>
      </w:r>
      <w:r>
        <w:rPr>
          <w:rFonts w:ascii="Times New Roman" w:hAnsi="Times New Roman"/>
          <w:b/>
          <w:i w:val="false"/>
          <w:color w:val="000000"/>
          <w:sz w:val="16"/>
        </w:rPr>
        <w:t>ARC 2530C</w:t>
      </w:r>
      <w:r>
        <w:rPr>
          <w:rFonts w:ascii="Times New Roman" w:hAnsi="Times New Roman"/>
          <w:b w:val="false"/>
          <w:i w:val="false"/>
          <w:color w:val="000000"/>
          <w:sz w:val="16"/>
        </w:rPr>
        <w:t>, IAB 5/11/16, effective 6/15/16</w:t>
      </w:r>
      <w:r>
        <w:rPr>
          <w:rFonts w:ascii="Times New Roman" w:hAnsi="Times New Roman"/>
          <w:b w:val="false"/>
          <w:i w:val="false"/>
          <w:color w:val="000000"/>
          <w:sz w:val="16"/>
        </w:rPr>
        <w:t xml:space="preserve">; </w:t>
      </w:r>
      <w:r>
        <w:rPr>
          <w:rFonts w:ascii="Times New Roman" w:hAnsi="Times New Roman"/>
          <w:b/>
          <w:i w:val="false"/>
          <w:color w:val="000000"/>
          <w:sz w:val="16"/>
        </w:rPr>
        <w:t>ARC 4986C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5547C</w:t>
      </w:r>
      <w:r>
        <w:rPr>
          <w:rFonts w:ascii="Times New Roman" w:hAnsi="Times New Roman"/>
          <w:b w:val="false"/>
          <w:i w:val="false"/>
          <w:color w:val="000000"/>
          <w:sz w:val="16"/>
        </w:rPr>
        <w:t>, IAB 4/7/21, effective 5/12/21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761—607.51</w:t>
      </w:r>
      <w:r>
        <w:rPr>
          <w:rFonts w:ascii="Times New Roman" w:hAnsi="Times New Roman"/>
          <w:b/>
          <w:i w:val="false"/>
          <w:color w:val="000000"/>
          <w:sz w:val="22"/>
        </w:rPr>
        <w:t xml:space="preserve">(321) </w:t>
      </w:r>
      <w:r>
        <w:rPr>
          <w:rFonts w:ascii="Times New Roman" w:hAnsi="Times New Roman"/>
          <w:b/>
          <w:i w:val="false"/>
          <w:color w:val="000000"/>
          <w:sz w:val="22"/>
        </w:rPr>
        <w:t xml:space="preserve">National drug and alcohol clearinghouse.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607.51(1)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This rule applies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for or holder of a commercial learner’s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for or holder of a 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seeking to transfer a commercial driver’s license from a prior state of domicile to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applicant seeking renewal of a 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applicant seeking to upgrade a commercial driver’s license or add an endorsement authorizing the operation of a commercial motor vehicle not covered by the current commercial driver’s license,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applicant for or holder of a restricted 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607.51(2)</w:t>
      </w:r>
      <w:r>
        <w:rPr>
          <w:rFonts w:ascii="Times New Roman" w:hAnsi="Times New Roman"/>
          <w:b w:val="false"/>
          <w:i w:val="false"/>
          <w:color w:val="000000"/>
          <w:sz w:val="22"/>
        </w:rPr>
        <w:t> </w:t>
      </w:r>
      <w:r>
        <w:rPr>
          <w:rFonts w:ascii="Times New Roman" w:hAnsi="Times New Roman"/>
          <w:b w:val="false"/>
          <w:i/>
          <w:color w:val="000000"/>
          <w:sz w:val="22"/>
        </w:rPr>
        <w:t xml:space="preserve">Issuance procedures. </w:t>
      </w:r>
      <w:r>
        <w:rPr>
          <w:rFonts w:ascii="Times New Roman" w:hAnsi="Times New Roman"/>
          <w:b w:val="false"/>
          <w:i w:val="false"/>
          <w:color w:val="000000"/>
          <w:sz w:val="22"/>
        </w:rPr>
        <w:t>Prior to issuing the license or permit, the department shall request information from the national drug and alcohol clearinghouse to determine if the person is prohibited from operating a commercial motor vehicle pursuant to 49 CFR 382.501(a). The department shall not issue, renew, transfer, or upgrade the license or permit if the person is prohibited from operating a commercial motor vehicle pursuant to 49 CFR 382.501(a). However, this subrule shall not take effect prior to the date established by the Federal Motor Carrier Safety Administration in 49 CFR Section 383.73 for state driver’s license agency compliance with national drug and alcohol clearinghouse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607.51(3)</w:t>
      </w:r>
      <w:r>
        <w:rPr>
          <w:rFonts w:ascii="Times New Roman" w:hAnsi="Times New Roman"/>
          <w:b w:val="false"/>
          <w:i w:val="false"/>
          <w:color w:val="000000"/>
          <w:sz w:val="22"/>
        </w:rPr>
        <w:t> </w:t>
      </w:r>
      <w:r>
        <w:rPr>
          <w:rFonts w:ascii="Times New Roman" w:hAnsi="Times New Roman"/>
          <w:b w:val="false"/>
          <w:i/>
          <w:color w:val="000000"/>
          <w:sz w:val="22"/>
        </w:rPr>
        <w:t xml:space="preserve">CDL downgrade. </w:t>
      </w:r>
      <w:r>
        <w:rPr>
          <w:rFonts w:ascii="Times New Roman" w:hAnsi="Times New Roman"/>
          <w:b w:val="false"/>
          <w:i w:val="false"/>
          <w:color w:val="000000"/>
          <w:sz w:val="22"/>
        </w:rPr>
        <w:t>Upon receiving notification that pursuant to 49 CFR 382.501(a) the person is prohibited from operating a commercial motor vehicle, the department shall downgrade the license or permit and record the downgrade on the CDLIS driver record within 60 days of the department’s receipt of such notification. However, this subrule shall not take effect prior to the date established by the Federal Motor Carrier Safety Administration in 49 CFR Section 383.73 for state driver’s license agency compliance with national drug and alcohol clearinghouse requirements. The downgrade will be initiated and completed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give the person written notice that the person is prohibited from operating a commercial motor vehicle due to notification the department received from the national drug and alcohol clearinghouse that the person has engaged in conduct prohibited by 49 CFR 382.501(a) and that upon receipt of the notification, the department initiated a downgrade of the person’s CLP or CDL.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department receives notification that the person is no longer prohibited from operating a commercial motor vehicle before the downgrade is completed, the department shall terminate the downgrade process without removing the CLP or CDL privilege from the driver’s license, transmit the information to the person’s CDLIS driver record, and send written notice to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after the downgrade is completed, the department receives notification from the national drug and alcohol clearinghouse that a driver is no longer prohibited from operating a commercial motor vehicle, the department shall record the end of the downgrade on the person’s CDLIS driver record, reinstate the CLP or CDL privilege to the driver’s license, and send written notice to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after the downgrade is completed, the department receives notification from the national drug and alcohol clearinghouse that the person was erroneously identified as prohibited from operating a commercial motor vehicle, the department shall reinstate the CLP or CDL privilege to the driver’s license as expeditiously as possible and remove from the CDLIS driver record and driving record any reference related to the person’s erroneous prohibited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607.51(4)</w:t>
      </w:r>
      <w:r>
        <w:rPr>
          <w:rFonts w:ascii="Times New Roman" w:hAnsi="Times New Roman"/>
          <w:b w:val="false"/>
          <w:i w:val="false"/>
          <w:color w:val="000000"/>
          <w:sz w:val="22"/>
        </w:rPr>
        <w:t> </w:t>
      </w:r>
      <w:r>
        <w:rPr>
          <w:rFonts w:ascii="Times New Roman" w:hAnsi="Times New Roman"/>
          <w:b w:val="false"/>
          <w:i/>
          <w:color w:val="000000"/>
          <w:sz w:val="22"/>
        </w:rPr>
        <w:t xml:space="preserve">Limitation on hearing and appeal. </w:t>
      </w:r>
      <w:r>
        <w:rPr>
          <w:rFonts w:ascii="Times New Roman" w:hAnsi="Times New Roman"/>
          <w:b w:val="false"/>
          <w:i w:val="false"/>
          <w:color w:val="000000"/>
          <w:sz w:val="22"/>
        </w:rPr>
        <w:t xml:space="preserve">An informal settlement, hearing, or appeal to contest the downgrade is limited to a determination of whether the facts required by Iowa Code sections </w:t>
      </w:r>
      <w:hyperlink r:id="rId187">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and </w:t>
      </w:r>
      <w:hyperlink r:id="rId188">
        <w:r>
          <w:rPr>
            <w:rStyle w:val="Hyperlink"/>
            <w:rFonts w:ascii="Times New Roman" w:hAnsi="Times New Roman"/>
            <w:b w:val="false"/>
            <w:i w:val="false"/>
            <w:color w:val="000000"/>
            <w:sz w:val="22"/>
          </w:rPr>
          <w:t>321.207</w:t>
        </w:r>
      </w:hyperlink>
      <w:r>
        <w:rPr>
          <w:rFonts w:ascii="Times New Roman" w:hAnsi="Times New Roman"/>
          <w:b w:val="false"/>
          <w:i w:val="false"/>
          <w:color w:val="000000"/>
          <w:sz w:val="22"/>
        </w:rPr>
        <w:t xml:space="preserve"> and this rule are true. The merits of the information conveyed by the national drug and alcohol clearinghouse to the department shall not be considered.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9">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and </w:t>
      </w:r>
      <w:hyperlink r:id="rId190">
        <w:r>
          <w:rPr>
            <w:rStyle w:val="Hyperlink"/>
            <w:rFonts w:ascii="Times New Roman" w:hAnsi="Times New Roman"/>
            <w:b w:val="false"/>
            <w:i w:val="false"/>
            <w:color w:val="000000"/>
            <w:sz w:val="22"/>
          </w:rPr>
          <w:t>321.207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7747C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761—607.52</w:t>
      </w:r>
      <w:r>
        <w:rPr>
          <w:rFonts w:ascii="Times New Roman" w:hAnsi="Times New Roman"/>
          <w:b/>
          <w:i w:val="false"/>
          <w:color w:val="000000"/>
          <w:sz w:val="22"/>
        </w:rPr>
        <w:t xml:space="preserve">(321) </w:t>
      </w:r>
      <w:r>
        <w:rPr>
          <w:rFonts w:ascii="Times New Roman" w:hAnsi="Times New Roman"/>
          <w:b/>
          <w:i w:val="false"/>
          <w:color w:val="000000"/>
          <w:sz w:val="22"/>
        </w:rPr>
        <w:t xml:space="preserve">Determination of gross vehicle weight rating.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607.52(1)</w:t>
      </w:r>
      <w:r>
        <w:rPr>
          <w:rFonts w:ascii="Times New Roman" w:hAnsi="Times New Roman"/>
          <w:b w:val="false"/>
          <w:i w:val="false"/>
          <w:color w:val="000000"/>
          <w:sz w:val="22"/>
        </w:rPr>
        <w:t> </w:t>
      </w:r>
      <w:r>
        <w:rPr>
          <w:rFonts w:ascii="Times New Roman" w:hAnsi="Times New Roman"/>
          <w:b w:val="false"/>
          <w:i/>
          <w:color w:val="000000"/>
          <w:sz w:val="22"/>
        </w:rPr>
        <w:t xml:space="preserve">Actual weight prohibited. </w:t>
      </w:r>
      <w:r>
        <w:rPr>
          <w:rFonts w:ascii="Times New Roman" w:hAnsi="Times New Roman"/>
          <w:b w:val="false"/>
          <w:i w:val="false"/>
          <w:color w:val="000000"/>
          <w:sz w:val="22"/>
        </w:rPr>
        <w:t>In determining whether the vehicle is a representative vehicle for the skills test and the group of commercial driver’s license for which the applicant is applying, the vehicle’s gross weight rating or gross combination weight rating must be used, not the vehicle’s actual gross weight or gross combination weight. For purposes of this rule, “gross weight rating” and “gross combination weight rating” mean as defined in 49 CFR Section 383.5.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607.52(2)</w:t>
      </w:r>
      <w:r>
        <w:rPr>
          <w:rFonts w:ascii="Times New Roman" w:hAnsi="Times New Roman"/>
          <w:b w:val="false"/>
          <w:i w:val="false"/>
          <w:color w:val="000000"/>
          <w:sz w:val="22"/>
        </w:rPr>
        <w:t> </w:t>
      </w:r>
      <w:r>
        <w:rPr>
          <w:rFonts w:ascii="Times New Roman" w:hAnsi="Times New Roman"/>
          <w:b w:val="false"/>
          <w:i/>
          <w:color w:val="000000"/>
          <w:sz w:val="22"/>
        </w:rPr>
        <w:t xml:space="preserve">Vehicle without legible manufacturer’s certification label. </w:t>
      </w:r>
      <w:r>
        <w:rPr>
          <w:rFonts w:ascii="Times New Roman" w:hAnsi="Times New Roman"/>
          <w:b w:val="false"/>
          <w:i w:val="false"/>
          <w:color w:val="000000"/>
          <w:sz w:val="22"/>
        </w:rPr>
        <w:t>To complete a skills test using a vehicle that has no legible manufacturer’s certification label, whether a power unit or towed vehicle, the applicant must provide documentation of the vehicle’s gross vehicle weight rating, such as a manufacturer’s certificate of origin, a title, or the vehicle identification number information for the vehicle. In the absence of such documentation, the vehicle may not be used, either alone or in combination.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1">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2071C</w:t>
      </w:r>
      <w:r>
        <w:rPr>
          <w:rFonts w:ascii="Times New Roman" w:hAnsi="Times New Roman"/>
          <w:b w:val="false"/>
          <w:i w:val="false"/>
          <w:color w:val="000000"/>
          <w:sz w:val="16"/>
        </w:rPr>
        <w:t>, IAB 8/5/15, effective 7/14/15</w:t>
      </w:r>
      <w:r>
        <w:rPr>
          <w:rFonts w:ascii="Times New Roman" w:hAnsi="Times New Roman"/>
          <w:b w:val="false"/>
          <w:i w:val="false"/>
          <w:color w:val="000000"/>
          <w:sz w:val="16"/>
        </w:rPr>
        <w:t xml:space="preserve">; </w:t>
      </w:r>
      <w:r>
        <w:rPr>
          <w:rFonts w:ascii="Times New Roman" w:hAnsi="Times New Roman"/>
          <w:b/>
          <w:i w:val="false"/>
          <w:color w:val="000000"/>
          <w:sz w:val="16"/>
        </w:rPr>
        <w:t>ARC 2337C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 xml:space="preserve">; </w:t>
      </w:r>
      <w:r>
        <w:rPr>
          <w:rFonts w:ascii="Times New Roman" w:hAnsi="Times New Roman"/>
          <w:b/>
          <w:i w:val="false"/>
          <w:color w:val="000000"/>
          <w:sz w:val="16"/>
        </w:rPr>
        <w:t>ARC 2530C</w:t>
      </w:r>
      <w:r>
        <w:rPr>
          <w:rFonts w:ascii="Times New Roman" w:hAnsi="Times New Roman"/>
          <w:b w:val="false"/>
          <w:i w:val="false"/>
          <w:color w:val="000000"/>
          <w:sz w:val="16"/>
        </w:rPr>
        <w:t>, IAB 5/11/16, effective 6/15/16</w:t>
      </w:r>
      <w:r>
        <w:rPr>
          <w:rFonts w:ascii="Times New Roman" w:hAnsi="Times New Roman"/>
          <w:b w:val="false"/>
          <w:i w:val="false"/>
          <w:color w:val="000000"/>
          <w:sz w:val="16"/>
        </w:rPr>
        <w:t xml:space="preserve">; </w:t>
      </w:r>
      <w:r>
        <w:rPr>
          <w:rFonts w:ascii="Times New Roman" w:hAnsi="Times New Roman"/>
          <w:b/>
          <w:i w:val="false"/>
          <w:color w:val="000000"/>
          <w:sz w:val="16"/>
        </w:rPr>
        <w:t>ARC 7747C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10/24/90—published 11/14/90, effective 10/24/90]</w:t>
      </w:r>
    </w:p>
    <w:p>
      <w:pPr>
        <w:spacing w:before="0" w:after="0"/>
        <w:ind w:left="120"/>
        <w:jc w:val="center"/>
      </w:pPr>
      <w:r>
        <w:rPr>
          <w:rFonts w:ascii="Times New Roman" w:hAnsi="Times New Roman"/>
          <w:b w:val="false"/>
          <w:i w:val="false"/>
          <w:color w:val="000000"/>
          <w:sz w:val="21"/>
        </w:rPr>
        <w:t>[Filed emergency 1/10/91—published 2/6/91, effective 1/10/91]</w:t>
      </w:r>
    </w:p>
    <w:p>
      <w:pPr>
        <w:spacing w:before="0" w:after="0"/>
        <w:ind w:left="120"/>
        <w:jc w:val="center"/>
      </w:pPr>
      <w:r>
        <w:rPr>
          <w:rFonts w:ascii="Times New Roman" w:hAnsi="Times New Roman"/>
          <w:b w:val="false"/>
          <w:i w:val="false"/>
          <w:color w:val="000000"/>
          <w:sz w:val="21"/>
        </w:rPr>
        <w:t>[Filed 5/9/91, Notices 11/14/90, 2/20/91—published 5/29/91, effective 7/3/91]</w:t>
      </w:r>
    </w:p>
    <w:p>
      <w:pPr>
        <w:spacing w:before="0" w:after="0"/>
        <w:ind w:left="120"/>
        <w:jc w:val="center"/>
      </w:pPr>
      <w:r>
        <w:rPr>
          <w:rFonts w:ascii="Times New Roman" w:hAnsi="Times New Roman"/>
          <w:b w:val="false"/>
          <w:i w:val="false"/>
          <w:color w:val="000000"/>
          <w:sz w:val="21"/>
        </w:rPr>
        <w:t>[Filed 5/27/93, Notice 3/17/93—published 6/23/93, effective 7/28/93]</w:t>
      </w:r>
    </w:p>
    <w:p>
      <w:pPr>
        <w:spacing w:before="0" w:after="0"/>
        <w:ind w:left="120"/>
        <w:jc w:val="center"/>
      </w:pPr>
      <w:r>
        <w:rPr>
          <w:rFonts w:ascii="Times New Roman" w:hAnsi="Times New Roman"/>
          <w:b w:val="false"/>
          <w:i w:val="false"/>
          <w:color w:val="000000"/>
          <w:sz w:val="21"/>
        </w:rPr>
        <w:t>[Filed 1/11/95, Notice 11/23/94—published 2/1/95, effective 3/8/95]</w:t>
      </w:r>
    </w:p>
    <w:p>
      <w:pPr>
        <w:spacing w:before="0" w:after="0"/>
        <w:ind w:left="120"/>
        <w:jc w:val="center"/>
      </w:pPr>
      <w:r>
        <w:rPr>
          <w:rFonts w:ascii="Times New Roman" w:hAnsi="Times New Roman"/>
          <w:b w:val="false"/>
          <w:i w:val="false"/>
          <w:color w:val="000000"/>
          <w:sz w:val="21"/>
        </w:rPr>
        <w:t>[Filed 11/1/95, Notice 9/27/95—published 11/22/95, effective 12/27/95]</w:t>
      </w:r>
    </w:p>
    <w:p>
      <w:pPr>
        <w:spacing w:before="0" w:after="0"/>
        <w:ind w:left="120"/>
        <w:jc w:val="center"/>
      </w:pPr>
      <w:r>
        <w:rPr>
          <w:rFonts w:ascii="Times New Roman" w:hAnsi="Times New Roman"/>
          <w:b w:val="false"/>
          <w:i w:val="false"/>
          <w:color w:val="000000"/>
          <w:sz w:val="21"/>
        </w:rPr>
        <w:t>[Filed 10/30/96, Notice 9/25/96—published 11/20/96, effective 12/25/96]</w:t>
      </w:r>
    </w:p>
    <w:p>
      <w:pPr>
        <w:spacing w:before="0" w:after="0"/>
        <w:ind w:left="120"/>
        <w:jc w:val="center"/>
      </w:pPr>
      <w:r>
        <w:rPr>
          <w:rFonts w:ascii="Times New Roman" w:hAnsi="Times New Roman"/>
          <w:b w:val="false"/>
          <w:i w:val="false"/>
          <w:color w:val="000000"/>
          <w:sz w:val="21"/>
        </w:rPr>
        <w:t>[Filed 6/19/02, Notice 4/17/02—published 7/10/02, effective 8/14/02]</w:t>
      </w:r>
    </w:p>
    <w:p>
      <w:pPr>
        <w:spacing w:before="0" w:after="0"/>
        <w:ind w:left="120"/>
        <w:jc w:val="center"/>
      </w:pPr>
      <w:r>
        <w:rPr>
          <w:rFonts w:ascii="Times New Roman" w:hAnsi="Times New Roman"/>
          <w:b w:val="false"/>
          <w:i w:val="false"/>
          <w:color w:val="000000"/>
          <w:sz w:val="21"/>
        </w:rPr>
        <w:t>[Filed emergency 3/21/03—published 4/16/03, effective 3/21/03]</w:t>
      </w:r>
    </w:p>
    <w:p>
      <w:pPr>
        <w:spacing w:before="0" w:after="0"/>
        <w:ind w:left="120"/>
        <w:jc w:val="center"/>
      </w:pPr>
      <w:r>
        <w:rPr>
          <w:rFonts w:ascii="Times New Roman" w:hAnsi="Times New Roman"/>
          <w:b w:val="false"/>
          <w:i w:val="false"/>
          <w:color w:val="000000"/>
          <w:sz w:val="21"/>
        </w:rPr>
        <w:t>[Filed emergency 6/15/05 after Notice 5/11/05—published 7/6/05, effective 7/1/05]</w:t>
      </w:r>
    </w:p>
    <w:p>
      <w:pPr>
        <w:spacing w:before="0" w:after="0"/>
        <w:ind w:left="120"/>
        <w:jc w:val="center"/>
      </w:pPr>
      <w:r>
        <w:rPr>
          <w:rFonts w:ascii="Times New Roman" w:hAnsi="Times New Roman"/>
          <w:b w:val="false"/>
          <w:i w:val="false"/>
          <w:color w:val="000000"/>
          <w:sz w:val="21"/>
        </w:rPr>
        <w:t>[Filed 10/11/06, Notice 8/30/06—published 11/8/06, effective 12/13/06]</w:t>
      </w:r>
    </w:p>
    <w:p>
      <w:pPr>
        <w:spacing w:before="0" w:after="0"/>
        <w:ind w:left="120"/>
        <w:jc w:val="center"/>
      </w:pPr>
      <w:r>
        <w:rPr>
          <w:rFonts w:ascii="Times New Roman" w:hAnsi="Times New Roman"/>
          <w:b w:val="false"/>
          <w:i w:val="false"/>
          <w:color w:val="000000"/>
          <w:sz w:val="21"/>
        </w:rPr>
        <w:t>[Filed 12/12/07, Notice 11/7/07—published 1/2/08, effective 2/6/08]</w:t>
      </w:r>
    </w:p>
    <w:p>
      <w:pPr>
        <w:spacing w:before="0" w:after="0"/>
        <w:ind w:left="120"/>
        <w:jc w:val="center"/>
      </w:pPr>
      <w:r>
        <w:rPr>
          <w:rFonts w:ascii="Times New Roman" w:hAnsi="Times New Roman"/>
          <w:b w:val="false"/>
          <w:i w:val="false"/>
          <w:color w:val="000000"/>
          <w:sz w:val="21"/>
        </w:rPr>
        <w:t>[Filed ARC 7902B</w:t>
      </w:r>
      <w:r>
        <w:rPr>
          <w:rFonts w:ascii="Times New Roman" w:hAnsi="Times New Roman"/>
          <w:b w:val="false"/>
          <w:i w:val="false"/>
          <w:color w:val="000000"/>
          <w:sz w:val="21"/>
        </w:rPr>
        <w:t xml:space="preserve"> (Notice ARC 7721B, IAB 4/22/09)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Emergency ARC 9954B, IAB 1/11/12, effective 1/30/12]</w:t>
      </w:r>
    </w:p>
    <w:p>
      <w:pPr>
        <w:spacing w:before="0" w:after="0"/>
        <w:ind w:left="120"/>
        <w:jc w:val="center"/>
      </w:pPr>
      <w:r>
        <w:rPr>
          <w:rFonts w:ascii="Times New Roman" w:hAnsi="Times New Roman"/>
          <w:b w:val="false"/>
          <w:i w:val="false"/>
          <w:color w:val="000000"/>
          <w:sz w:val="21"/>
        </w:rPr>
        <w:t>[Filed ARC 0031C</w:t>
      </w:r>
      <w:r>
        <w:rPr>
          <w:rFonts w:ascii="Times New Roman" w:hAnsi="Times New Roman"/>
          <w:b w:val="false"/>
          <w:i w:val="false"/>
          <w:color w:val="000000"/>
          <w:sz w:val="21"/>
        </w:rPr>
        <w:t xml:space="preserve"> (Notice ARC 9955B, IAB 1/11/12)</w:t>
      </w:r>
      <w:r>
        <w:rPr>
          <w:rFonts w:ascii="Times New Roman" w:hAnsi="Times New Roman"/>
          <w:b w:val="false"/>
          <w:i w:val="false"/>
          <w:color w:val="000000"/>
          <w:sz w:val="21"/>
        </w:rPr>
        <w:t>, IAB 3/7/12, effective 4/11/12]</w:t>
      </w:r>
    </w:p>
    <w:p>
      <w:pPr>
        <w:spacing w:before="0" w:after="0"/>
        <w:ind w:left="120"/>
        <w:jc w:val="center"/>
      </w:pPr>
      <w:r>
        <w:rPr>
          <w:rFonts w:ascii="Times New Roman" w:hAnsi="Times New Roman"/>
          <w:b w:val="false"/>
          <w:i w:val="false"/>
          <w:color w:val="000000"/>
          <w:sz w:val="21"/>
        </w:rPr>
        <w:t>[Filed ARC 1714C</w:t>
      </w:r>
      <w:r>
        <w:rPr>
          <w:rFonts w:ascii="Times New Roman" w:hAnsi="Times New Roman"/>
          <w:b w:val="false"/>
          <w:i w:val="false"/>
          <w:color w:val="000000"/>
          <w:sz w:val="21"/>
        </w:rPr>
        <w:t xml:space="preserve"> (Notice ARC 1601C, IAB 9/3/14)</w:t>
      </w:r>
      <w:r>
        <w:rPr>
          <w:rFonts w:ascii="Times New Roman" w:hAnsi="Times New Roman"/>
          <w:b w:val="false"/>
          <w:i w:val="false"/>
          <w:color w:val="000000"/>
          <w:sz w:val="21"/>
        </w:rPr>
        <w:t>, IAB 11/12/14, effective 12/17/14]</w:t>
      </w:r>
    </w:p>
    <w:p>
      <w:pPr>
        <w:spacing w:before="0" w:after="0"/>
        <w:ind w:left="120"/>
        <w:jc w:val="center"/>
      </w:pPr>
      <w:r>
        <w:rPr>
          <w:rFonts w:ascii="Times New Roman" w:hAnsi="Times New Roman"/>
          <w:b w:val="false"/>
          <w:i w:val="false"/>
          <w:color w:val="000000"/>
          <w:sz w:val="21"/>
        </w:rPr>
        <w:t>[Filed Emergency ARC 2071C, IAB 8/5/15, effective 7/14/15]</w:t>
      </w:r>
    </w:p>
    <w:p>
      <w:pPr>
        <w:spacing w:before="0" w:after="0"/>
        <w:ind w:left="120"/>
        <w:jc w:val="center"/>
      </w:pPr>
      <w:r>
        <w:rPr>
          <w:rFonts w:ascii="Times New Roman" w:hAnsi="Times New Roman"/>
          <w:b w:val="false"/>
          <w:i w:val="false"/>
          <w:color w:val="000000"/>
          <w:sz w:val="21"/>
        </w:rPr>
        <w:t>[Filed ARC 2337C</w:t>
      </w:r>
      <w:r>
        <w:rPr>
          <w:rFonts w:ascii="Times New Roman" w:hAnsi="Times New Roman"/>
          <w:b w:val="false"/>
          <w:i w:val="false"/>
          <w:color w:val="000000"/>
          <w:sz w:val="21"/>
        </w:rPr>
        <w:t xml:space="preserve"> (Notice ARC 2070C, IAB 8/5/15)</w:t>
      </w:r>
      <w:r>
        <w:rPr>
          <w:rFonts w:ascii="Times New Roman" w:hAnsi="Times New Roman"/>
          <w:b w:val="false"/>
          <w:i w:val="false"/>
          <w:color w:val="000000"/>
          <w:sz w:val="21"/>
        </w:rPr>
        <w:t>, IAB 1/6/16, effective 2/10/16]</w:t>
      </w:r>
    </w:p>
    <w:p>
      <w:pPr>
        <w:spacing w:before="0" w:after="0"/>
        <w:ind w:left="120"/>
        <w:jc w:val="center"/>
      </w:pPr>
      <w:r>
        <w:rPr>
          <w:rFonts w:ascii="Times New Roman" w:hAnsi="Times New Roman"/>
          <w:b w:val="false"/>
          <w:i w:val="false"/>
          <w:color w:val="000000"/>
          <w:sz w:val="21"/>
        </w:rPr>
        <w:t>[Filed ARC 2530C</w:t>
      </w:r>
      <w:r>
        <w:rPr>
          <w:rFonts w:ascii="Times New Roman" w:hAnsi="Times New Roman"/>
          <w:b w:val="false"/>
          <w:i w:val="false"/>
          <w:color w:val="000000"/>
          <w:sz w:val="21"/>
        </w:rPr>
        <w:t xml:space="preserve"> (Notice ARC 2451C, IAB 3/16/16)</w:t>
      </w:r>
      <w:r>
        <w:rPr>
          <w:rFonts w:ascii="Times New Roman" w:hAnsi="Times New Roman"/>
          <w:b w:val="false"/>
          <w:i w:val="false"/>
          <w:color w:val="000000"/>
          <w:sz w:val="21"/>
        </w:rPr>
        <w:t>, IAB 5/11/16, effective 6/15/16]</w:t>
      </w:r>
    </w:p>
    <w:p>
      <w:pPr>
        <w:spacing w:before="0" w:after="0"/>
        <w:ind w:left="120"/>
        <w:jc w:val="center"/>
      </w:pPr>
      <w:r>
        <w:rPr>
          <w:rFonts w:ascii="Times New Roman" w:hAnsi="Times New Roman"/>
          <w:b w:val="false"/>
          <w:i w:val="false"/>
          <w:color w:val="000000"/>
          <w:sz w:val="21"/>
        </w:rPr>
        <w:t>[Filed ARC 2986C</w:t>
      </w:r>
      <w:r>
        <w:rPr>
          <w:rFonts w:ascii="Times New Roman" w:hAnsi="Times New Roman"/>
          <w:b w:val="false"/>
          <w:i w:val="false"/>
          <w:color w:val="000000"/>
          <w:sz w:val="21"/>
        </w:rPr>
        <w:t xml:space="preserve"> (Notice ARC 2878C, IAB 1/4/17)</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ARC 3689C</w:t>
      </w:r>
      <w:r>
        <w:rPr>
          <w:rFonts w:ascii="Times New Roman" w:hAnsi="Times New Roman"/>
          <w:b w:val="false"/>
          <w:i w:val="false"/>
          <w:color w:val="000000"/>
          <w:sz w:val="21"/>
        </w:rPr>
        <w:t xml:space="preserve"> (Notice ARC 3532C, IAB 1/3/18)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3840C</w:t>
      </w:r>
      <w:r>
        <w:rPr>
          <w:rFonts w:ascii="Times New Roman" w:hAnsi="Times New Roman"/>
          <w:b w:val="false"/>
          <w:i w:val="false"/>
          <w:color w:val="000000"/>
          <w:sz w:val="21"/>
        </w:rPr>
        <w:t xml:space="preserve"> (Notice ARC 3700C, IAB 3/28/18)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4401C</w:t>
      </w:r>
      <w:r>
        <w:rPr>
          <w:rFonts w:ascii="Times New Roman" w:hAnsi="Times New Roman"/>
          <w:b w:val="false"/>
          <w:i w:val="false"/>
          <w:color w:val="000000"/>
          <w:sz w:val="21"/>
        </w:rPr>
        <w:t xml:space="preserve"> (Notice ARC 4256C, IAB 1/30/19)</w:t>
      </w:r>
      <w:r>
        <w:rPr>
          <w:rFonts w:ascii="Times New Roman" w:hAnsi="Times New Roman"/>
          <w:b w:val="false"/>
          <w:i w:val="false"/>
          <w:color w:val="000000"/>
          <w:sz w:val="21"/>
        </w:rPr>
        <w:t>, IAB 4/10/19, effective 5/15/19]</w:t>
      </w:r>
    </w:p>
    <w:p>
      <w:pPr>
        <w:spacing w:before="0" w:after="0"/>
        <w:ind w:left="120"/>
        <w:jc w:val="center"/>
      </w:pPr>
      <w:r>
        <w:rPr>
          <w:rFonts w:ascii="Times New Roman" w:hAnsi="Times New Roman"/>
          <w:b w:val="false"/>
          <w:i w:val="false"/>
          <w:color w:val="000000"/>
          <w:sz w:val="21"/>
        </w:rPr>
        <w:t>[Filed ARC 4586C</w:t>
      </w:r>
      <w:r>
        <w:rPr>
          <w:rFonts w:ascii="Times New Roman" w:hAnsi="Times New Roman"/>
          <w:b w:val="false"/>
          <w:i w:val="false"/>
          <w:color w:val="000000"/>
          <w:sz w:val="21"/>
        </w:rPr>
        <w:t xml:space="preserve"> (Notice ARC 4476C, IAB 6/5/19)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4986C</w:t>
      </w:r>
      <w:r>
        <w:rPr>
          <w:rFonts w:ascii="Times New Roman" w:hAnsi="Times New Roman"/>
          <w:b w:val="false"/>
          <w:i w:val="false"/>
          <w:color w:val="000000"/>
          <w:sz w:val="21"/>
        </w:rPr>
        <w:t xml:space="preserve"> (Notice ARC 4836C, IAB 1/1/20)</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5018C</w:t>
      </w:r>
      <w:r>
        <w:rPr>
          <w:rFonts w:ascii="Times New Roman" w:hAnsi="Times New Roman"/>
          <w:b w:val="false"/>
          <w:i w:val="false"/>
          <w:color w:val="000000"/>
          <w:sz w:val="21"/>
        </w:rPr>
        <w:t xml:space="preserve"> (Notice ARC 4895C, IAB 2/12/20)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5495C</w:t>
      </w:r>
      <w:r>
        <w:rPr>
          <w:rFonts w:ascii="Times New Roman" w:hAnsi="Times New Roman"/>
          <w:b w:val="false"/>
          <w:i w:val="false"/>
          <w:color w:val="000000"/>
          <w:sz w:val="21"/>
        </w:rPr>
        <w:t xml:space="preserve"> (Notice ARC 5384C, IAB 1/13/21)</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5547C</w:t>
      </w:r>
      <w:r>
        <w:rPr>
          <w:rFonts w:ascii="Times New Roman" w:hAnsi="Times New Roman"/>
          <w:b w:val="false"/>
          <w:i w:val="false"/>
          <w:color w:val="000000"/>
          <w:sz w:val="21"/>
        </w:rPr>
        <w:t xml:space="preserve"> (Notice ARC 5411C, IAB 2/10/21)</w:t>
      </w:r>
      <w:r>
        <w:rPr>
          <w:rFonts w:ascii="Times New Roman" w:hAnsi="Times New Roman"/>
          <w:b w:val="false"/>
          <w:i w:val="false"/>
          <w:color w:val="000000"/>
          <w:sz w:val="21"/>
        </w:rPr>
        <w:t>, IAB 4/7/21, effective 5/12/21]</w:t>
      </w:r>
    </w:p>
    <w:p>
      <w:pPr>
        <w:spacing w:before="0" w:after="0"/>
        <w:ind w:left="120"/>
        <w:jc w:val="center"/>
      </w:pPr>
      <w:r>
        <w:rPr>
          <w:rFonts w:ascii="Times New Roman" w:hAnsi="Times New Roman"/>
          <w:b w:val="false"/>
          <w:i w:val="false"/>
          <w:color w:val="000000"/>
          <w:sz w:val="21"/>
        </w:rPr>
        <w:t>[Filed ARC 5942C</w:t>
      </w:r>
      <w:r>
        <w:rPr>
          <w:rFonts w:ascii="Times New Roman" w:hAnsi="Times New Roman"/>
          <w:b w:val="false"/>
          <w:i w:val="false"/>
          <w:color w:val="000000"/>
          <w:sz w:val="21"/>
        </w:rPr>
        <w:t xml:space="preserve"> (Notice ARC 5804C, IAB 7/28/21)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6168C</w:t>
      </w:r>
      <w:r>
        <w:rPr>
          <w:rFonts w:ascii="Times New Roman" w:hAnsi="Times New Roman"/>
          <w:b w:val="false"/>
          <w:i w:val="false"/>
          <w:color w:val="000000"/>
          <w:sz w:val="21"/>
        </w:rPr>
        <w:t xml:space="preserve"> (Notice ARC 6065C, IAB 12/1/21)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6307C</w:t>
      </w:r>
      <w:r>
        <w:rPr>
          <w:rFonts w:ascii="Times New Roman" w:hAnsi="Times New Roman"/>
          <w:b w:val="false"/>
          <w:i w:val="false"/>
          <w:color w:val="000000"/>
          <w:sz w:val="21"/>
        </w:rPr>
        <w:t xml:space="preserve"> (Notice ARC 6207C, IAB 2/23/22)</w:t>
      </w:r>
      <w:r>
        <w:rPr>
          <w:rFonts w:ascii="Times New Roman" w:hAnsi="Times New Roman"/>
          <w:b w:val="false"/>
          <w:i w:val="false"/>
          <w:color w:val="000000"/>
          <w:sz w:val="21"/>
        </w:rPr>
        <w:t>, IAB 5/4/22, effective 6/8/22]</w:t>
      </w:r>
    </w:p>
    <w:p>
      <w:pPr>
        <w:spacing w:before="0" w:after="0"/>
        <w:ind w:left="120"/>
        <w:jc w:val="center"/>
      </w:pPr>
      <w:r>
        <w:rPr>
          <w:rFonts w:ascii="Times New Roman" w:hAnsi="Times New Roman"/>
          <w:b w:val="false"/>
          <w:i w:val="false"/>
          <w:color w:val="000000"/>
          <w:sz w:val="21"/>
        </w:rPr>
        <w:t>[Filed ARC 6706C</w:t>
      </w:r>
      <w:r>
        <w:rPr>
          <w:rFonts w:ascii="Times New Roman" w:hAnsi="Times New Roman"/>
          <w:b w:val="false"/>
          <w:i w:val="false"/>
          <w:color w:val="000000"/>
          <w:sz w:val="21"/>
        </w:rPr>
        <w:t xml:space="preserve"> (Notice ARC 6519C, IAB 9/21/22)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[Filed ARC 6970C</w:t>
      </w:r>
      <w:r>
        <w:rPr>
          <w:rFonts w:ascii="Times New Roman" w:hAnsi="Times New Roman"/>
          <w:b w:val="false"/>
          <w:i w:val="false"/>
          <w:color w:val="000000"/>
          <w:sz w:val="21"/>
        </w:rPr>
        <w:t xml:space="preserve"> (Notice ARC 6822C, IAB 1/11/23)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[Editorial change: IAC Supplement 7/26/23]</w:t>
      </w:r>
    </w:p>
    <w:p>
      <w:pPr>
        <w:spacing w:before="0" w:after="0"/>
        <w:ind w:left="120"/>
        <w:jc w:val="center"/>
      </w:pPr>
      <w:r>
        <w:rPr>
          <w:rFonts w:ascii="Times New Roman" w:hAnsi="Times New Roman"/>
          <w:b w:val="false"/>
          <w:i w:val="false"/>
          <w:color w:val="000000"/>
          <w:sz w:val="21"/>
        </w:rPr>
        <w:t>[Editorial change: IAC Supplement 11/29/23]</w:t>
      </w:r>
    </w:p>
    <w:p>
      <w:pPr>
        <w:spacing w:before="0" w:after="0"/>
        <w:ind w:left="120"/>
        <w:jc w:val="center"/>
      </w:pPr>
      <w:r>
        <w:rPr>
          <w:rFonts w:ascii="Times New Roman" w:hAnsi="Times New Roman"/>
          <w:b w:val="false"/>
          <w:i w:val="false"/>
          <w:color w:val="000000"/>
          <w:sz w:val="21"/>
        </w:rPr>
        <w:t>[Filed ARC 7747C</w:t>
      </w:r>
      <w:r>
        <w:rPr>
          <w:rFonts w:ascii="Times New Roman" w:hAnsi="Times New Roman"/>
          <w:b w:val="false"/>
          <w:i w:val="false"/>
          <w:color w:val="000000"/>
          <w:sz w:val="21"/>
        </w:rPr>
        <w:t xml:space="preserve"> (Notice ARC 7491C, IAB 1/10/24)</w:t>
      </w:r>
      <w:r>
        <w:rPr>
          <w:rFonts w:ascii="Times New Roman" w:hAnsi="Times New Roman"/>
          <w:b w:val="false"/>
          <w:i w:val="false"/>
          <w:color w:val="000000"/>
          <w:sz w:val="21"/>
        </w:rPr>
        <w:t>, IAB 4/3/24, effective 5/8/24]</w:t>
      </w:r>
    </w:p>
    <w:p>
      <w:pPr>
        <w:spacing w:before="0" w:after="0"/>
        <w:ind w:left="120"/>
        <w:jc w:val="center"/>
      </w:pPr>
      <w:r>
        <w:rPr>
          <w:rFonts w:ascii="Times New Roman" w:hAnsi="Times New Roman"/>
          <w:b w:val="false"/>
          <w:i w:val="false"/>
          <w:color w:val="000000"/>
          <w:sz w:val="21"/>
        </w:rPr>
        <w:t>[Filed ARC 8055C</w:t>
      </w:r>
      <w:r>
        <w:rPr>
          <w:rFonts w:ascii="Times New Roman" w:hAnsi="Times New Roman"/>
          <w:b w:val="false"/>
          <w:i w:val="false"/>
          <w:color w:val="000000"/>
          <w:sz w:val="21"/>
        </w:rPr>
        <w:t xml:space="preserve"> (Notice ARC 7745C, IAB 4/3/24)</w:t>
      </w:r>
      <w:r>
        <w:rPr>
          <w:rFonts w:ascii="Times New Roman" w:hAnsi="Times New Roman"/>
          <w:b w:val="false"/>
          <w:i w:val="false"/>
          <w:color w:val="000000"/>
          <w:sz w:val="21"/>
        </w:rPr>
        <w:t>, IAB 6/12/24, effective 7/17/24]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pdf" Type="http://schemas.openxmlformats.org/officeDocument/2006/relationships/hyperlink" Id="rId5"/>
    <Relationship TargetMode="External" Target="http://www.iowadot.gov" Type="http://schemas.openxmlformats.org/officeDocument/2006/relationships/hyperlink" Id="rId6"/>
    <Relationship TargetMode="External" Target="https://www.legis.iowa.gov/docs/ico/chapter/17A.3.pdf" Type="http://schemas.openxmlformats.org/officeDocument/2006/relationships/hyperlink" Id="rId7"/>
    <Relationship TargetMode="External" Target="https://www.legis.iowa.gov/docs/ico/chapter/321.1.pdf" Type="http://schemas.openxmlformats.org/officeDocument/2006/relationships/hyperlink" Id="rId8"/>
    <Relationship TargetMode="External" Target="https://www.legis.iowa.gov/docs/ico/chapter/321.1.pdf" Type="http://schemas.openxmlformats.org/officeDocument/2006/relationships/hyperlink" Id="rId9"/>
    <Relationship TargetMode="External" Target="https://www.legis.iowa.gov/docs/ico/chapter/321.1.pdf" Type="http://schemas.openxmlformats.org/officeDocument/2006/relationships/hyperlink" Id="rId10"/>
    <Relationship TargetMode="External" Target="https://www.legis.iowa.gov/docs/ico/chapter/321.1.pdf" Type="http://schemas.openxmlformats.org/officeDocument/2006/relationships/hyperlink" Id="rId11"/>
    <Relationship TargetMode="External" Target="https://www.legis.iowa.gov/docs/ico/chapter/321.208.pdf" Type="http://schemas.openxmlformats.org/officeDocument/2006/relationships/hyperlink" Id="rId12"/>
    <Relationship TargetMode="External" Target="https://www.legis.iowa.gov/docs/ico/chapter/124.101.pdf" Type="http://schemas.openxmlformats.org/officeDocument/2006/relationships/hyperlink" Id="rId13"/>
    <Relationship TargetMode="External" Target="https://www.legis.iowa.gov/docs/ico/chapter/321.1.pdf" Type="http://schemas.openxmlformats.org/officeDocument/2006/relationships/hyperlink" Id="rId14"/>
    <Relationship TargetMode="External" Target="https://www.legis.iowa.gov/docs/ico/chapter/321.449.pdf" Type="http://schemas.openxmlformats.org/officeDocument/2006/relationships/hyperlink" Id="rId15"/>
    <Relationship TargetMode="External" Target="https://www.legis.iowa.gov/docs/ico/chapter/321.174.pdf" Type="http://schemas.openxmlformats.org/officeDocument/2006/relationships/hyperlink" Id="rId16"/>
    <Relationship TargetMode="External" Target="https://www.legis.iowa.gov/docs/ico/chapter/321.188.pdf" Type="http://schemas.openxmlformats.org/officeDocument/2006/relationships/hyperlink" Id="rId17"/>
    <Relationship TargetMode="External" Target="https://www.legis.iowa.gov/docs/ico/chapter/321.208.pdf" Type="http://schemas.openxmlformats.org/officeDocument/2006/relationships/hyperlink" Id="rId18"/>
    <Relationship TargetMode="External" Target="https://www.legis.iowa.gov/docs/ico/chapter/321.1.pdf" Type="http://schemas.openxmlformats.org/officeDocument/2006/relationships/hyperlink" Id="rId19"/>
    <Relationship TargetMode="External" Target="https://www.legis.iowa.gov/docs/ico/chapter/321.174.pdf" Type="http://schemas.openxmlformats.org/officeDocument/2006/relationships/hyperlink" Id="rId20"/>
    <Relationship TargetMode="External" Target="https://www.legis.iowa.gov/docs/ico/chapter/321.188.pdf" Type="http://schemas.openxmlformats.org/officeDocument/2006/relationships/hyperlink" Id="rId21"/>
    <Relationship TargetMode="External" Target="https://www.legis.iowa.gov/docs/ico/chapter/321.191.pdf" Type="http://schemas.openxmlformats.org/officeDocument/2006/relationships/hyperlink" Id="rId22"/>
    <Relationship TargetMode="External" Target="https://www.legis.iowa.gov/docs/ico/chapter/321.193.pdf" Type="http://schemas.openxmlformats.org/officeDocument/2006/relationships/hyperlink" Id="rId23"/>
    <Relationship TargetMode="External" Target="https://www.legis.iowa.gov/docs/ico/chapter/321.207.pdf" Type="http://schemas.openxmlformats.org/officeDocument/2006/relationships/hyperlink" Id="rId24"/>
    <Relationship TargetMode="External" Target="https://www.legis.iowa.gov/docs/ico/chapter/321.208.pdf" Type="http://schemas.openxmlformats.org/officeDocument/2006/relationships/hyperlink" Id="rId25"/>
    <Relationship TargetMode="External" Target="https://www.legis.iowa.gov/docs/ico/chapter/321.176A.pdf" Type="http://schemas.openxmlformats.org/officeDocument/2006/relationships/hyperlink" Id="rId26"/>
    <Relationship TargetMode="External" Target="https://www.legis.iowa.gov/docs/ico/chapter/321.1.pdf" Type="http://schemas.openxmlformats.org/officeDocument/2006/relationships/hyperlink" Id="rId27"/>
    <Relationship TargetMode="External" Target="https://www.legis.iowa.gov/docs/ico/chapter/321.176A.pdf" Type="http://schemas.openxmlformats.org/officeDocument/2006/relationships/hyperlink" Id="rId28"/>
    <Relationship TargetMode="External" Target="https://www.legis.iowa.gov/docs/iac/chapter/761.4.pdf" Type="http://schemas.openxmlformats.org/officeDocument/2006/relationships/hyperlink" Id="rId29"/>
    <Relationship TargetMode="External" Target="https://www.legis.iowa.gov/docs/ico/chapter/22.11.pdf" Type="http://schemas.openxmlformats.org/officeDocument/2006/relationships/hyperlink" Id="rId30"/>
    <Relationship TargetMode="External" Target="https://www.legis.iowa.gov/docs/ico/chapter/321.12.pdf" Type="http://schemas.openxmlformats.org/officeDocument/2006/relationships/hyperlink" Id="rId31"/>
    <Relationship TargetMode="External" Target="https://www.legis.iowa.gov/docs/ico/chapter/321.199.pdf" Type="http://schemas.openxmlformats.org/officeDocument/2006/relationships/hyperlink" Id="rId32"/>
    <Relationship TargetMode="External" Target="https://www.legis.iowa.gov/docs/iac/chapter/661.22.pdf" Type="http://schemas.openxmlformats.org/officeDocument/2006/relationships/hyperlink" Id="rId33"/>
    <Relationship TargetMode="External" Target="https://www.legis.iowa.gov/docs/iac/chapter/661.22.pdf" Type="http://schemas.openxmlformats.org/officeDocument/2006/relationships/hyperlink" Id="rId34"/>
    <Relationship TargetMode="External" Target="http://www.fmcsa.dot.gov" Type="http://schemas.openxmlformats.org/officeDocument/2006/relationships/hyperlink" Id="rId35"/>
    <Relationship TargetMode="External" Target="https://www.legis.iowa.gov/docs/ico/chapter/321.187.pdf" Type="http://schemas.openxmlformats.org/officeDocument/2006/relationships/hyperlink" Id="rId36"/>
    <Relationship TargetMode="External" Target="https://www.legis.iowa.gov/docs/ico/chapter/321.188.pdf" Type="http://schemas.openxmlformats.org/officeDocument/2006/relationships/hyperlink" Id="rId37"/>
    <Relationship TargetMode="External" Target="https://www.legis.iowa.gov/docs/ico/chapter/321.207.pdf" Type="http://schemas.openxmlformats.org/officeDocument/2006/relationships/hyperlink" Id="rId38"/>
    <Relationship TargetMode="External" Target="https://www.legis.iowa.gov/docs/ico/chapter/321.208.pdf" Type="http://schemas.openxmlformats.org/officeDocument/2006/relationships/hyperlink" Id="rId39"/>
    <Relationship TargetMode="External" Target="https://www.legis.iowa.gov/docs/ico/chapter/321.208A.pdf" Type="http://schemas.openxmlformats.org/officeDocument/2006/relationships/hyperlink" Id="rId40"/>
    <Relationship TargetMode="External" Target="https://www.legis.iowa.gov/docs/ico/chapter/321.180.pdf" Type="http://schemas.openxmlformats.org/officeDocument/2006/relationships/hyperlink" Id="rId41"/>
    <Relationship TargetMode="External" Target="https://www.legis.iowa.gov/docs/ico/chapter/321.182.pdf" Type="http://schemas.openxmlformats.org/officeDocument/2006/relationships/hyperlink" Id="rId42"/>
    <Relationship TargetMode="External" Target="https://www.legis.iowa.gov/docs/ico/chapter/321.188.pdf" Type="http://schemas.openxmlformats.org/officeDocument/2006/relationships/hyperlink" Id="rId43"/>
    <Relationship TargetMode="External" Target="https://www.legis.iowa.gov/docs/iac/chapter/761.601.pdf" Type="http://schemas.openxmlformats.org/officeDocument/2006/relationships/hyperlink" Id="rId44"/>
    <Relationship TargetMode="External" Target="https://www.legis.iowa.gov/docs/ico/chapter/321.180.pdf" Type="http://schemas.openxmlformats.org/officeDocument/2006/relationships/hyperlink" Id="rId45"/>
    <Relationship TargetMode="External" Target="https://www.legis.iowa.gov/docs/ico/chapter/321.182.pdf" Type="http://schemas.openxmlformats.org/officeDocument/2006/relationships/hyperlink" Id="rId46"/>
    <Relationship TargetMode="External" Target="https://www.legis.iowa.gov/docs/ico/chapter/321.188.pdf" Type="http://schemas.openxmlformats.org/officeDocument/2006/relationships/hyperlink" Id="rId47"/>
    <Relationship TargetMode="External" Target="https://www.legis.iowa.gov/docs/ico/chapter/321.1.pdf" Type="http://schemas.openxmlformats.org/officeDocument/2006/relationships/hyperlink" Id="rId48"/>
    <Relationship TargetMode="External" Target="https://www.legis.iowa.gov/docs/ico/chapter/321.189.pdf" Type="http://schemas.openxmlformats.org/officeDocument/2006/relationships/hyperlink" Id="rId49"/>
    <Relationship TargetMode="External" Target="https://www.legis.iowa.gov/docs/ico/chapter/321.188.pdf" Type="http://schemas.openxmlformats.org/officeDocument/2006/relationships/hyperlink" Id="rId50"/>
    <Relationship TargetMode="External" Target="https://www.legis.iowa.gov/docs/ico/chapter/321.1.pdf" Type="http://schemas.openxmlformats.org/officeDocument/2006/relationships/hyperlink" Id="rId51"/>
    <Relationship TargetMode="External" Target="https://www.legis.iowa.gov/docs/ico/chapter/321.189.pdf" Type="http://schemas.openxmlformats.org/officeDocument/2006/relationships/hyperlink" Id="rId52"/>
    <Relationship TargetMode="External" Target="https://www.legis.iowa.gov/docs/ico/chapter/321.188.pdf" Type="http://schemas.openxmlformats.org/officeDocument/2006/relationships/hyperlink" Id="rId53"/>
    <Relationship TargetMode="External" Target="https://www.legis.iowa.gov/docs/ico/chapter/321.1.pdf" Type="http://schemas.openxmlformats.org/officeDocument/2006/relationships/hyperlink" Id="rId54"/>
    <Relationship TargetMode="External" Target="https://www.legis.iowa.gov/docs/ico/chapter/321.189.pdf" Type="http://schemas.openxmlformats.org/officeDocument/2006/relationships/hyperlink" Id="rId55"/>
    <Relationship TargetMode="External" Target="https://www.legis.iowa.gov/docs/ico/chapter/321.449.pdf" Type="http://schemas.openxmlformats.org/officeDocument/2006/relationships/hyperlink" Id="rId56"/>
    <Relationship TargetMode="External" Target="https://www.legis.iowa.gov/docs/iac/rule/761.607.15.pdf" Type="http://schemas.openxmlformats.org/officeDocument/2006/relationships/hyperlink" Id="rId57"/>
    <Relationship TargetMode="External" Target="https://www.legis.iowa.gov/docs/iac/rule/761.605.12.pdf" Type="http://schemas.openxmlformats.org/officeDocument/2006/relationships/hyperlink" Id="rId58"/>
    <Relationship TargetMode="External" Target="https://www.legis.iowa.gov/docs/ico/chapter/321.1.pdf" Type="http://schemas.openxmlformats.org/officeDocument/2006/relationships/hyperlink" Id="rId59"/>
    <Relationship TargetMode="External" Target="https://www.legis.iowa.gov/docs/ico/chapter/321.177.pdf" Type="http://schemas.openxmlformats.org/officeDocument/2006/relationships/hyperlink" Id="rId60"/>
    <Relationship TargetMode="External" Target="https://www.legis.iowa.gov/docs/ico/chapter/321.182.pdf" Type="http://schemas.openxmlformats.org/officeDocument/2006/relationships/hyperlink" Id="rId61"/>
    <Relationship TargetMode="External" Target="https://www.legis.iowa.gov/docs/ico/chapter/321.188.pdf" Type="http://schemas.openxmlformats.org/officeDocument/2006/relationships/hyperlink" Id="rId62"/>
    <Relationship TargetMode="External" Target="https://www.legis.iowa.gov/docs/ico/chapter/321.189.pdf" Type="http://schemas.openxmlformats.org/officeDocument/2006/relationships/hyperlink" Id="rId63"/>
    <Relationship TargetMode="External" Target="https://www.legis.iowa.gov/docs/ico/chapter/321.196.pdf" Type="http://schemas.openxmlformats.org/officeDocument/2006/relationships/hyperlink" Id="rId64"/>
    <Relationship TargetMode="External" Target="https://www.legis.iowa.gov/docs/ico/chapter/321.449.pdf" Type="http://schemas.openxmlformats.org/officeDocument/2006/relationships/hyperlink" Id="rId65"/>
    <Relationship TargetMode="External" Target="https://www.legis.iowa.gov/docs/ico/chapter/321.188.pdf" Type="http://schemas.openxmlformats.org/officeDocument/2006/relationships/hyperlink" Id="rId66"/>
    <Relationship TargetMode="External" Target="https://www.legis.iowa.gov/docs/iac/rule/761.607.3.pdf" Type="http://schemas.openxmlformats.org/officeDocument/2006/relationships/hyperlink" Id="rId67"/>
    <Relationship TargetMode="External" Target="https://www.legis.iowa.gov/docs/ico/chapter/321.188.pdf" Type="http://schemas.openxmlformats.org/officeDocument/2006/relationships/hyperlink" Id="rId68"/>
    <Relationship TargetMode="External" Target="https://www.legis.iowa.gov/docs/ico/chapter/321.1.pdf" Type="http://schemas.openxmlformats.org/officeDocument/2006/relationships/hyperlink" Id="rId69"/>
    <Relationship TargetMode="External" Target="https://www.legis.iowa.gov/docs/ico/chapter/321.1.pdf" Type="http://schemas.openxmlformats.org/officeDocument/2006/relationships/hyperlink" Id="rId70"/>
    <Relationship TargetMode="External" Target="https://www.legis.iowa.gov/docs/iac/rule/761.607.3.pdf" Type="http://schemas.openxmlformats.org/officeDocument/2006/relationships/hyperlink" Id="rId71"/>
    <Relationship TargetMode="External" Target="https://www.legis.iowa.gov/docs/ico/chapter/321.188.pdf" Type="http://schemas.openxmlformats.org/officeDocument/2006/relationships/hyperlink" Id="rId72"/>
    <Relationship TargetMode="External" Target="https://www.legis.iowa.gov/docs/ico/chapter/321.1.pdf" Type="http://schemas.openxmlformats.org/officeDocument/2006/relationships/hyperlink" Id="rId73"/>
    <Relationship TargetMode="External" Target="https://www.legis.iowa.gov/docs/ico/chapter/321.176A.pdf" Type="http://schemas.openxmlformats.org/officeDocument/2006/relationships/hyperlink" Id="rId74"/>
    <Relationship TargetMode="External" Target="https://www.legis.iowa.gov/docs/ico/chapter/321.188.pdf" Type="http://schemas.openxmlformats.org/officeDocument/2006/relationships/hyperlink" Id="rId75"/>
    <Relationship TargetMode="External" Target="https://www.legis.iowa.gov/docs/ico/chapter/321.189.pdf" Type="http://schemas.openxmlformats.org/officeDocument/2006/relationships/hyperlink" Id="rId76"/>
    <Relationship TargetMode="External" Target="https://www.legis.iowa.gov/docs/iac/rule/761.605.5.pdf" Type="http://schemas.openxmlformats.org/officeDocument/2006/relationships/hyperlink" Id="rId77"/>
    <Relationship TargetMode="External" Target="https://www.legis.iowa.gov/docs/ico/chapter/321.189.pdf" Type="http://schemas.openxmlformats.org/officeDocument/2006/relationships/hyperlink" Id="rId78"/>
    <Relationship TargetMode="External" Target="https://www.legis.iowa.gov/docs/ico/chapter/321.191.pdf" Type="http://schemas.openxmlformats.org/officeDocument/2006/relationships/hyperlink" Id="rId79"/>
    <Relationship TargetMode="External" Target="https://www.legis.iowa.gov/docs/ico/chapter/321.180.pdf" Type="http://schemas.openxmlformats.org/officeDocument/2006/relationships/hyperlink" Id="rId80"/>
    <Relationship TargetMode="External" Target="https://www.legis.iowa.gov/docs/ico/chapter/321.188.pdf" Type="http://schemas.openxmlformats.org/officeDocument/2006/relationships/hyperlink" Id="rId81"/>
    <Relationship TargetMode="External" Target="https://www.legis.iowa.gov/docs/ico/chapter/321.188.pdf" Type="http://schemas.openxmlformats.org/officeDocument/2006/relationships/hyperlink" Id="rId82"/>
    <Relationship TargetMode="External" Target="https://www.legis.iowa.gov/docs/ico/chapter/321.188.pdf" Type="http://schemas.openxmlformats.org/officeDocument/2006/relationships/hyperlink" Id="rId83"/>
    <Relationship TargetMode="External" Target="https://www.legis.iowa.gov/docs/ico/chapter/321.180.pdf" Type="http://schemas.openxmlformats.org/officeDocument/2006/relationships/hyperlink" Id="rId84"/>
    <Relationship TargetMode="External" Target="https://www.legis.iowa.gov/docs/ico/chapter/321.180.pdf" Type="http://schemas.openxmlformats.org/officeDocument/2006/relationships/hyperlink" Id="rId85"/>
    <Relationship TargetMode="External" Target="https://www.legis.iowa.gov/docs/iac/rule/761.607.18.pdf" Type="http://schemas.openxmlformats.org/officeDocument/2006/relationships/hyperlink" Id="rId86"/>
    <Relationship TargetMode="External" Target="https://www.legis.iowa.gov/docs/ico/chapter/321.180.pdf" Type="http://schemas.openxmlformats.org/officeDocument/2006/relationships/hyperlink" Id="rId87"/>
    <Relationship TargetMode="External" Target="https://www.legis.iowa.gov/docs/ico/chapter/321.180.pdf" Type="http://schemas.openxmlformats.org/officeDocument/2006/relationships/hyperlink" Id="rId88"/>
    <Relationship TargetMode="External" Target="https://www.legis.iowa.gov/docs/ico/chapter/321.186.pdf" Type="http://schemas.openxmlformats.org/officeDocument/2006/relationships/hyperlink" Id="rId89"/>
    <Relationship TargetMode="External" Target="https://www.legis.iowa.gov/docs/ico/chapter/321.188.pdf" Type="http://schemas.openxmlformats.org/officeDocument/2006/relationships/hyperlink" Id="rId90"/>
    <Relationship TargetMode="External" Target="https://www.legis.iowa.gov/docs/iac/chapter/761.604.pdf" Type="http://schemas.openxmlformats.org/officeDocument/2006/relationships/hyperlink" Id="rId91"/>
    <Relationship TargetMode="External" Target="https://www.legis.iowa.gov/docs/ico/chapter/321.186.pdf" Type="http://schemas.openxmlformats.org/officeDocument/2006/relationships/hyperlink" Id="rId92"/>
    <Relationship TargetMode="External" Target="https://www.legis.iowa.gov/docs/iac/rule/761.604.11.pdf" Type="http://schemas.openxmlformats.org/officeDocument/2006/relationships/hyperlink" Id="rId93"/>
    <Relationship TargetMode="External" Target="https://www.legis.iowa.gov/docs/ico/chapter/321.186.pdf" Type="http://schemas.openxmlformats.org/officeDocument/2006/relationships/hyperlink" Id="rId94"/>
    <Relationship TargetMode="External" Target="https://www.legis.iowa.gov/docs/ico/chapter/321.186A.pdf" Type="http://schemas.openxmlformats.org/officeDocument/2006/relationships/hyperlink" Id="rId95"/>
    <Relationship TargetMode="External" Target="https://www.legis.iowa.gov/docs/ico/chapter/321.188.pdf" Type="http://schemas.openxmlformats.org/officeDocument/2006/relationships/hyperlink" Id="rId96"/>
    <Relationship TargetMode="External" Target="https://www.legis.iowa.gov/docs/ico/chapter/321.186.pdf" Type="http://schemas.openxmlformats.org/officeDocument/2006/relationships/hyperlink" Id="rId97"/>
    <Relationship TargetMode="External" Target="https://www.legis.iowa.gov/docs/ico/chapter/321.188.pdf" Type="http://schemas.openxmlformats.org/officeDocument/2006/relationships/hyperlink" Id="rId98"/>
    <Relationship TargetMode="External" Target="https://www.legis.iowa.gov/docs/iac/rule/761.607.3.pdf" Type="http://schemas.openxmlformats.org/officeDocument/2006/relationships/hyperlink" Id="rId99"/>
    <Relationship TargetMode="External" Target="https://www.legis.iowa.gov/docs/iac/rule/761.607.3.pdf" Type="http://schemas.openxmlformats.org/officeDocument/2006/relationships/hyperlink" Id="rId100"/>
    <Relationship TargetMode="External" Target="https://www.legis.iowa.gov/docs/iac/rule/761.607.3.pdf" Type="http://schemas.openxmlformats.org/officeDocument/2006/relationships/hyperlink" Id="rId101"/>
    <Relationship TargetMode="External" Target="https://www.legis.iowa.gov/docs/iac/rule/761.607.3.pdf" Type="http://schemas.openxmlformats.org/officeDocument/2006/relationships/hyperlink" Id="rId102"/>
    <Relationship TargetMode="External" Target="https://www.legis.iowa.gov/docs/ico/chapter/321.188.pdf" Type="http://schemas.openxmlformats.org/officeDocument/2006/relationships/hyperlink" Id="rId103"/>
    <Relationship TargetMode="External" Target="https://www.legis.iowa.gov/docs/iac/rule/761.607.28.pdf" Type="http://schemas.openxmlformats.org/officeDocument/2006/relationships/hyperlink" Id="rId104"/>
    <Relationship TargetMode="External" Target="https://www.legis.iowa.gov/docs/iac/rule/761.607.28.pdf" Type="http://schemas.openxmlformats.org/officeDocument/2006/relationships/hyperlink" Id="rId105"/>
    <Relationship TargetMode="External" Target="https://www.legis.iowa.gov/docs/ico/chapter/553.3.pdf" Type="http://schemas.openxmlformats.org/officeDocument/2006/relationships/hyperlink" Id="rId106"/>
    <Relationship TargetMode="External" Target="https://www.legis.iowa.gov/docs/iac/rule/761.607.28.pdf" Type="http://schemas.openxmlformats.org/officeDocument/2006/relationships/hyperlink" Id="rId107"/>
    <Relationship TargetMode="External" Target="https://www.legis.iowa.gov/docs/iac/rule/761.607.28.pdf" Type="http://schemas.openxmlformats.org/officeDocument/2006/relationships/hyperlink" Id="rId108"/>
    <Relationship TargetMode="External" Target="https://www.legis.iowa.gov/docs/iac/rule/761.607.28.pdf" Type="http://schemas.openxmlformats.org/officeDocument/2006/relationships/hyperlink" Id="rId109"/>
    <Relationship TargetMode="External" Target="https://www.legis.iowa.gov/docs/ico/chapter/321.186.pdf" Type="http://schemas.openxmlformats.org/officeDocument/2006/relationships/hyperlink" Id="rId110"/>
    <Relationship TargetMode="External" Target="https://www.legis.iowa.gov/docs/ico/chapter/321.187A.pdf" Type="http://schemas.openxmlformats.org/officeDocument/2006/relationships/hyperlink" Id="rId111"/>
    <Relationship TargetMode="External" Target="https://www.legis.iowa.gov/docs/ico/chapter/321.188.pdf" Type="http://schemas.openxmlformats.org/officeDocument/2006/relationships/hyperlink" Id="rId112"/>
    <Relationship TargetMode="External" Target="https://www.legis.iowa.gov/docs/ico/chapter/321M.6A.pdf" Type="http://schemas.openxmlformats.org/officeDocument/2006/relationships/hyperlink" Id="rId113"/>
    <Relationship TargetMode="External" Target="https://www.legis.iowa.gov/docs/iac/rule/761.607.27.pdf" Type="http://schemas.openxmlformats.org/officeDocument/2006/relationships/hyperlink" Id="rId114"/>
    <Relationship TargetMode="External" Target="https://www.legis.iowa.gov/docs/iac/rule/761.607.28.pdf" Type="http://schemas.openxmlformats.org/officeDocument/2006/relationships/hyperlink" Id="rId115"/>
    <Relationship TargetMode="External" Target="https://www.legis.iowa.gov/docs/ico/chapter/261B.pdf" Type="http://schemas.openxmlformats.org/officeDocument/2006/relationships/hyperlink" Id="rId116"/>
    <Relationship TargetMode="External" Target="https://www.legis.iowa.gov/docs/ico/chapter/260C.pdf" Type="http://schemas.openxmlformats.org/officeDocument/2006/relationships/hyperlink" Id="rId117"/>
    <Relationship TargetMode="External" Target="https://www.legis.iowa.gov/docs/ico/chapter/553.3.pdf" Type="http://schemas.openxmlformats.org/officeDocument/2006/relationships/hyperlink" Id="rId118"/>
    <Relationship TargetMode="External" Target="https://www.legis.iowa.gov/docs/iac/rule/761.607.27.pdf" Type="http://schemas.openxmlformats.org/officeDocument/2006/relationships/hyperlink" Id="rId119"/>
    <Relationship TargetMode="External" Target="https://www.legis.iowa.gov/docs/ico/chapter/498.pdf" Type="http://schemas.openxmlformats.org/officeDocument/2006/relationships/hyperlink" Id="rId120"/>
    <Relationship TargetMode="External" Target="https://www.legis.iowa.gov/docs/ico/chapter/504.pdf" Type="http://schemas.openxmlformats.org/officeDocument/2006/relationships/hyperlink" Id="rId121"/>
    <Relationship TargetMode="External" Target="https://www.legis.iowa.gov/docs/ico/chapter/324A.1.pdf" Type="http://schemas.openxmlformats.org/officeDocument/2006/relationships/hyperlink" Id="rId122"/>
    <Relationship TargetMode="External" Target="https://www.legis.iowa.gov/docs/ico/chapter/324A.1.pdf" Type="http://schemas.openxmlformats.org/officeDocument/2006/relationships/hyperlink" Id="rId123"/>
    <Relationship TargetMode="External" Target="https://www.legis.iowa.gov/docs/iac/rule/761.607.28.pdf" Type="http://schemas.openxmlformats.org/officeDocument/2006/relationships/hyperlink" Id="rId124"/>
    <Relationship TargetMode="External" Target="https://www.legis.iowa.gov/docs/ico/chapter/321.187.pdf" Type="http://schemas.openxmlformats.org/officeDocument/2006/relationships/hyperlink" Id="rId125"/>
    <Relationship TargetMode="External" Target="https://www.legis.iowa.gov/docs/ico/chapter/321.187.pdf" Type="http://schemas.openxmlformats.org/officeDocument/2006/relationships/hyperlink" Id="rId126"/>
    <Relationship TargetMode="External" Target="https://www.legis.iowa.gov/docs/iac/rule/761.607.30.pdf" Type="http://schemas.openxmlformats.org/officeDocument/2006/relationships/hyperlink" Id="rId127"/>
    <Relationship TargetMode="External" Target="https://www.legis.iowa.gov/docs/iac/rule/761.607.30.pdf" Type="http://schemas.openxmlformats.org/officeDocument/2006/relationships/hyperlink" Id="rId128"/>
    <Relationship TargetMode="External" Target="https://www.legis.iowa.gov/docs/ico/chapter/321.1A.pdf" Type="http://schemas.openxmlformats.org/officeDocument/2006/relationships/hyperlink" Id="rId129"/>
    <Relationship TargetMode="External" Target="https://www.legis.iowa.gov/docs/ico/chapter/553.3.pdf" Type="http://schemas.openxmlformats.org/officeDocument/2006/relationships/hyperlink" Id="rId130"/>
    <Relationship TargetMode="External" Target="https://www.legis.iowa.gov/docs/ico/chapter/321.187.pdf" Type="http://schemas.openxmlformats.org/officeDocument/2006/relationships/hyperlink" Id="rId131"/>
    <Relationship TargetMode="External" Target="https://www.legis.iowa.gov/docs/iac/rule/761.607.28.pdf" Type="http://schemas.openxmlformats.org/officeDocument/2006/relationships/hyperlink" Id="rId132"/>
    <Relationship TargetMode="External" Target="https://www.legis.iowa.gov/docs/iac/rule/761.607.30.pdf" Type="http://schemas.openxmlformats.org/officeDocument/2006/relationships/hyperlink" Id="rId133"/>
    <Relationship TargetMode="External" Target="https://www.legis.iowa.gov/docs/iac/rule/761.607.31.pdf" Type="http://schemas.openxmlformats.org/officeDocument/2006/relationships/hyperlink" Id="rId134"/>
    <Relationship TargetMode="External" Target="https://www.legis.iowa.gov/docs/iac/rule/761.607.31.pdf" Type="http://schemas.openxmlformats.org/officeDocument/2006/relationships/hyperlink" Id="rId135"/>
    <Relationship TargetMode="External" Target="https://www.legis.iowa.gov/docs/ico/chapter/321.201.pdf" Type="http://schemas.openxmlformats.org/officeDocument/2006/relationships/hyperlink" Id="rId136"/>
    <Relationship TargetMode="External" Target="https://www.legis.iowa.gov/docs/iac/rule/761.615.7.pdf" Type="http://schemas.openxmlformats.org/officeDocument/2006/relationships/hyperlink" Id="rId137"/>
    <Relationship TargetMode="External" Target="https://www.legis.iowa.gov/docs/ico/chapter/321.180.pdf" Type="http://schemas.openxmlformats.org/officeDocument/2006/relationships/hyperlink" Id="rId138"/>
    <Relationship TargetMode="External" Target="https://www.legis.iowa.gov/docs/ico/chapter/321.186.pdf" Type="http://schemas.openxmlformats.org/officeDocument/2006/relationships/hyperlink" Id="rId139"/>
    <Relationship TargetMode="External" Target="https://www.legis.iowa.gov/docs/ico/chapter/321.187.pdf" Type="http://schemas.openxmlformats.org/officeDocument/2006/relationships/hyperlink" Id="rId140"/>
    <Relationship TargetMode="External" Target="https://www.legis.iowa.gov/docs/ico/chapter/321.188.pdf" Type="http://schemas.openxmlformats.org/officeDocument/2006/relationships/hyperlink" Id="rId141"/>
    <Relationship TargetMode="External" Target="https://www.legis.iowa.gov/docs/ico/chapter/321.201.pdf" Type="http://schemas.openxmlformats.org/officeDocument/2006/relationships/hyperlink" Id="rId142"/>
    <Relationship TargetMode="External" Target="https://www.legis.iowa.gov/docs/ico/chapter/321.180.pdf" Type="http://schemas.openxmlformats.org/officeDocument/2006/relationships/hyperlink" Id="rId143"/>
    <Relationship TargetMode="External" Target="https://www.legis.iowa.gov/docs/ico/chapter/321.186.pdf" Type="http://schemas.openxmlformats.org/officeDocument/2006/relationships/hyperlink" Id="rId144"/>
    <Relationship TargetMode="External" Target="https://www.legis.iowa.gov/docs/ico/chapter/321.187.pdf" Type="http://schemas.openxmlformats.org/officeDocument/2006/relationships/hyperlink" Id="rId145"/>
    <Relationship TargetMode="External" Target="https://www.legis.iowa.gov/docs/ico/chapter/321.188.pdf" Type="http://schemas.openxmlformats.org/officeDocument/2006/relationships/hyperlink" Id="rId146"/>
    <Relationship TargetMode="External" Target="https://www.legis.iowa.gov/docs/ico/chapter/321.189.pdf" Type="http://schemas.openxmlformats.org/officeDocument/2006/relationships/hyperlink" Id="rId147"/>
    <Relationship TargetMode="External" Target="https://www.legis.iowa.gov/docs/ico/chapter/321.189.pdf" Type="http://schemas.openxmlformats.org/officeDocument/2006/relationships/hyperlink" Id="rId148"/>
    <Relationship TargetMode="External" Target="https://www.legis.iowa.gov/docs/iac/rule/761.607.50.pdf" Type="http://schemas.openxmlformats.org/officeDocument/2006/relationships/hyperlink" Id="rId149"/>
    <Relationship TargetMode="External" Target="https://www.legis.iowa.gov/docs/iac/rule/761.607.15.pdf" Type="http://schemas.openxmlformats.org/officeDocument/2006/relationships/hyperlink" Id="rId150"/>
    <Relationship TargetMode="External" Target="https://www.legis.iowa.gov/docs/ico/chapter/321.186.pdf" Type="http://schemas.openxmlformats.org/officeDocument/2006/relationships/hyperlink" Id="rId151"/>
    <Relationship TargetMode="External" Target="https://www.legis.iowa.gov/docs/ico/chapter/321.188.pdf" Type="http://schemas.openxmlformats.org/officeDocument/2006/relationships/hyperlink" Id="rId152"/>
    <Relationship TargetMode="External" Target="https://www.legis.iowa.gov/docs/ico/chapter/321.196.pdf" Type="http://schemas.openxmlformats.org/officeDocument/2006/relationships/hyperlink" Id="rId153"/>
    <Relationship TargetMode="External" Target="https://www.legis.iowa.gov/docs/ico/chapter/321.188.pdf" Type="http://schemas.openxmlformats.org/officeDocument/2006/relationships/hyperlink" Id="rId154"/>
    <Relationship TargetMode="External" Target="https://www.legis.iowa.gov/docs/ico/chapter/321.188.pdf" Type="http://schemas.openxmlformats.org/officeDocument/2006/relationships/hyperlink" Id="rId155"/>
    <Relationship TargetMode="External" Target="https://www.legis.iowa.gov/docs/ico/chapter/321.191.pdf" Type="http://schemas.openxmlformats.org/officeDocument/2006/relationships/hyperlink" Id="rId156"/>
    <Relationship TargetMode="External" Target="https://www.legis.iowa.gov/docs/ico/chapter/321.208.pdf" Type="http://schemas.openxmlformats.org/officeDocument/2006/relationships/hyperlink" Id="rId157"/>
    <Relationship TargetMode="External" Target="https://www.legis.iowa.gov/docs/iac/rule/761.615.37.pdf" Type="http://schemas.openxmlformats.org/officeDocument/2006/relationships/hyperlink" Id="rId158"/>
    <Relationship TargetMode="External" Target="https://www.legis.iowa.gov/docs/ico/chapter/321.208.pdf" Type="http://schemas.openxmlformats.org/officeDocument/2006/relationships/hyperlink" Id="rId159"/>
    <Relationship TargetMode="External" Target="https://www.legis.iowa.gov/docs/iac/rule/761.615.38.pdf" Type="http://schemas.openxmlformats.org/officeDocument/2006/relationships/hyperlink" Id="rId160"/>
    <Relationship TargetMode="External" Target="https://www.legis.iowa.gov/docs/ico/chapter/321.188.pdf" Type="http://schemas.openxmlformats.org/officeDocument/2006/relationships/hyperlink" Id="rId161"/>
    <Relationship TargetMode="External" Target="https://www.legis.iowa.gov/docs/ico/chapter/321.201.pdf" Type="http://schemas.openxmlformats.org/officeDocument/2006/relationships/hyperlink" Id="rId162"/>
    <Relationship TargetMode="External" Target="https://www.legis.iowa.gov/docs/ico/chapter/321.188.pdf" Type="http://schemas.openxmlformats.org/officeDocument/2006/relationships/hyperlink" Id="rId163"/>
    <Relationship TargetMode="External" Target="https://www.legis.iowa.gov/docs/ico/chapter/17A.pdf" Type="http://schemas.openxmlformats.org/officeDocument/2006/relationships/hyperlink" Id="rId164"/>
    <Relationship TargetMode="External" Target="https://www.legis.iowa.gov/docs/ico/chapter/321.208.pdf" Type="http://schemas.openxmlformats.org/officeDocument/2006/relationships/hyperlink" Id="rId165"/>
    <Relationship TargetMode="External" Target="https://www.legis.iowa.gov/docs/ico/chapter/321.208.pdf" Type="http://schemas.openxmlformats.org/officeDocument/2006/relationships/hyperlink" Id="rId166"/>
    <Relationship TargetMode="External" Target="https://www.legis.iowa.gov/docs/ico/chapter/321.191.pdf" Type="http://schemas.openxmlformats.org/officeDocument/2006/relationships/hyperlink" Id="rId167"/>
    <Relationship TargetMode="External" Target="https://www.legis.iowa.gov/docs/ico/chapter/321.208.pdf" Type="http://schemas.openxmlformats.org/officeDocument/2006/relationships/hyperlink" Id="rId168"/>
    <Relationship TargetMode="External" Target="https://www.legis.iowa.gov/docs/ico/chapter/321.pdf" Type="http://schemas.openxmlformats.org/officeDocument/2006/relationships/hyperlink" Id="rId169"/>
    <Relationship TargetMode="External" Target="https://www.legis.iowa.gov/docs/iac/rule/761.607.49.pdf" Type="http://schemas.openxmlformats.org/officeDocument/2006/relationships/hyperlink" Id="rId170"/>
    <Relationship TargetMode="External" Target="https://www.legis.iowa.gov/docs/iac/rule/761.607.49.pdf" Type="http://schemas.openxmlformats.org/officeDocument/2006/relationships/hyperlink" Id="rId171"/>
    <Relationship TargetMode="External" Target="https://www.legis.iowa.gov/docs/iac/rule/761.615.17.pdf" Type="http://schemas.openxmlformats.org/officeDocument/2006/relationships/hyperlink" Id="rId172"/>
    <Relationship TargetMode="External" Target="https://www.legis.iowa.gov/docs/iac/rule/761.615.1.pdf" Type="http://schemas.openxmlformats.org/officeDocument/2006/relationships/hyperlink" Id="rId173"/>
    <Relationship TargetMode="External" Target="https://www.legis.iowa.gov/docs/iac/rule/761.607.27.pdf" Type="http://schemas.openxmlformats.org/officeDocument/2006/relationships/hyperlink" Id="rId174"/>
    <Relationship TargetMode="External" Target="https://www.legis.iowa.gov/docs/iac/rule/761.607.28.pdf" Type="http://schemas.openxmlformats.org/officeDocument/2006/relationships/hyperlink" Id="rId175"/>
    <Relationship TargetMode="External" Target="https://www.legis.iowa.gov/docs/ico/chapter/321.196.pdf" Type="http://schemas.openxmlformats.org/officeDocument/2006/relationships/hyperlink" Id="rId176"/>
    <Relationship TargetMode="External" Target="https://www.legis.iowa.gov/docs/ico/chapter/321.191.pdf" Type="http://schemas.openxmlformats.org/officeDocument/2006/relationships/hyperlink" Id="rId177"/>
    <Relationship TargetMode="External" Target="https://www.legis.iowa.gov/docs/ico/chapter/321.195.pdf" Type="http://schemas.openxmlformats.org/officeDocument/2006/relationships/hyperlink" Id="rId178"/>
    <Relationship TargetMode="External" Target="https://www.legis.iowa.gov/docs/ico/chapter/321.176B.pdf" Type="http://schemas.openxmlformats.org/officeDocument/2006/relationships/hyperlink" Id="rId179"/>
    <Relationship TargetMode="External" Target="https://www.legis.iowa.gov/docs/iac/rule/761.607.50.pdf" Type="http://schemas.openxmlformats.org/officeDocument/2006/relationships/hyperlink" Id="rId180"/>
    <Relationship TargetMode="External" Target="https://www.legis.iowa.gov/docs/iac/rule/761.607.50.pdf" Type="http://schemas.openxmlformats.org/officeDocument/2006/relationships/hyperlink" Id="rId181"/>
    <Relationship TargetMode="External" Target="https://www.legis.iowa.gov/docs/iac/rule/761.607.50.pdf" Type="http://schemas.openxmlformats.org/officeDocument/2006/relationships/hyperlink" Id="rId182"/>
    <Relationship TargetMode="External" Target="https://www.legis.iowa.gov/docs/iac/rule/761.607.50.pdf" Type="http://schemas.openxmlformats.org/officeDocument/2006/relationships/hyperlink" Id="rId183"/>
    <Relationship TargetMode="External" Target="https://www.legis.iowa.gov/docs/ico/chapter/321.182.pdf" Type="http://schemas.openxmlformats.org/officeDocument/2006/relationships/hyperlink" Id="rId184"/>
    <Relationship TargetMode="External" Target="https://www.legis.iowa.gov/docs/ico/chapter/321.188.pdf" Type="http://schemas.openxmlformats.org/officeDocument/2006/relationships/hyperlink" Id="rId185"/>
    <Relationship TargetMode="External" Target="https://www.legis.iowa.gov/docs/ico/chapter/321.207.pdf" Type="http://schemas.openxmlformats.org/officeDocument/2006/relationships/hyperlink" Id="rId186"/>
    <Relationship TargetMode="External" Target="https://www.legis.iowa.gov/docs/ico/chapter/321.188.pdf" Type="http://schemas.openxmlformats.org/officeDocument/2006/relationships/hyperlink" Id="rId187"/>
    <Relationship TargetMode="External" Target="https://www.legis.iowa.gov/docs/ico/chapter/321.207.pdf" Type="http://schemas.openxmlformats.org/officeDocument/2006/relationships/hyperlink" Id="rId188"/>
    <Relationship TargetMode="External" Target="https://www.legis.iowa.gov/docs/ico/chapter/321.188.pdf" Type="http://schemas.openxmlformats.org/officeDocument/2006/relationships/hyperlink" Id="rId189"/>
    <Relationship TargetMode="External" Target="https://www.legis.iowa.gov/docs/ico/chapter/321.207.pdf" Type="http://schemas.openxmlformats.org/officeDocument/2006/relationships/hyperlink" Id="rId190"/>
    <Relationship TargetMode="External" Target="https://www.legis.iowa.gov/docs/ico/chapter/321.1.pdf" Type="http://schemas.openxmlformats.org/officeDocument/2006/relationships/hyperlink" Id="rId19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