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605</w:t>
      </w:r>
    </w:p>
    <w:p>
      <w:pPr>
        <w:spacing w:before="0" w:after="0"/>
        <w:ind w:left="120"/>
        <w:jc w:val="center"/>
      </w:pPr>
      <w:r>
        <w:rPr>
          <w:rFonts w:ascii="Times New Roman" w:hAnsi="Times New Roman"/>
          <w:b w:val="false"/>
          <w:i w:val="false"/>
          <w:color w:val="000000"/>
          <w:sz w:val="21"/>
        </w:rPr>
        <w:t>LICENSE ISSUANCE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761—605.1</w:t>
      </w:r>
      <w:r>
        <w:rPr>
          <w:rFonts w:ascii="Times New Roman" w:hAnsi="Times New Roman"/>
          <w:b/>
          <w:i w:val="false"/>
          <w:color w:val="000000"/>
          <w:sz w:val="22"/>
        </w:rPr>
        <w:t xml:space="preserve">(321)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of rules applies to the issuance of all Iowa driver’s licenses. Additional information on the issuance of a commercial driver’s license or a commercial learner’s permit is given in </w:t>
      </w:r>
      <w:hyperlink r:id="rId5">
        <w:r>
          <w:rPr>
            <w:rStyle w:val="Hyperlink"/>
            <w:rFonts w:ascii="Times New Roman" w:hAnsi="Times New Roman"/>
            <w:b w:val="false"/>
            <w:i w:val="false"/>
            <w:color w:val="000000"/>
            <w:sz w:val="22"/>
          </w:rPr>
          <w:t>761—Chapter 607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321.174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761—605.2</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7">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the following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“driver’s license” as defined in Iowa Code section </w:t>
      </w:r>
      <w:hyperlink r:id="rId8">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(20A)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report” </w:t>
      </w:r>
      <w:r>
        <w:rPr>
          <w:rFonts w:ascii="Times New Roman" w:hAnsi="Times New Roman"/>
          <w:b w:val="false"/>
          <w:i w:val="false"/>
          <w:color w:val="000000"/>
          <w:sz w:val="22"/>
        </w:rPr>
        <w:t>means a report from a qualified medical professional attesting to a person’s physical or mental capability to operate a motor vehicle safely. The report should be submitted on Form 430031, “Medical Report.” In lieu of Form 430031, a report signed by a qualified medical professional on the qualified medical professional’s letterhead may be accepted if it contains all the information specified on Form 430031.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medical professional” </w:t>
      </w:r>
      <w:r>
        <w:rPr>
          <w:rFonts w:ascii="Times New Roman" w:hAnsi="Times New Roman"/>
          <w:b w:val="false"/>
          <w:i w:val="false"/>
          <w:color w:val="000000"/>
          <w:sz w:val="22"/>
        </w:rPr>
        <w:t xml:space="preserve">means a person licensed as a physician under Iowa Code chapter </w:t>
      </w:r>
      <w:hyperlink r:id="rId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 person licensed as an advanced registered nurse practitioner under Iowa Code chapter </w:t>
      </w:r>
      <w:hyperlink r:id="rId10">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and licensed with the board of nursing, or a person licensed as a physician assistant under Iowa Code chapter </w:t>
      </w:r>
      <w:hyperlink r:id="rId1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when practicing within the scope of the person’s professional licensure.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4586C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761—605.3</w:t>
      </w:r>
      <w:r>
        <w:rPr>
          <w:rFonts w:ascii="Times New Roman" w:hAnsi="Times New Roman"/>
          <w:b/>
          <w:i w:val="false"/>
          <w:color w:val="000000"/>
          <w:sz w:val="22"/>
        </w:rPr>
        <w:t xml:space="preserve">(321) </w:t>
      </w:r>
      <w:r>
        <w:rPr>
          <w:rFonts w:ascii="Times New Roman" w:hAnsi="Times New Roman"/>
          <w:b/>
          <w:i w:val="false"/>
          <w:color w:val="000000"/>
          <w:sz w:val="22"/>
        </w:rPr>
        <w:t xml:space="preserve">Persons exempt.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605.3(1)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listed in Iowa Code section </w:t>
      </w:r>
      <w:hyperlink r:id="rId13">
        <w:r>
          <w:rPr>
            <w:rStyle w:val="Hyperlink"/>
            <w:rFonts w:ascii="Times New Roman" w:hAnsi="Times New Roman"/>
            <w:b w:val="false"/>
            <w:i w:val="false"/>
            <w:color w:val="000000"/>
            <w:sz w:val="22"/>
          </w:rPr>
          <w:t>321.176</w:t>
        </w:r>
      </w:hyperlink>
      <w:r>
        <w:rPr>
          <w:rFonts w:ascii="Times New Roman" w:hAnsi="Times New Roman"/>
          <w:b w:val="false"/>
          <w:i w:val="false"/>
          <w:color w:val="000000"/>
          <w:sz w:val="22"/>
        </w:rPr>
        <w:t xml:space="preserve"> are exempt from driver’s licensing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605.3(2)</w:t>
      </w:r>
      <w:r>
        <w:rPr>
          <w:rFonts w:ascii="Times New Roman" w:hAnsi="Times New Roman"/>
          <w:b w:val="false"/>
          <w:i w:val="false"/>
          <w:color w:val="000000"/>
          <w:sz w:val="22"/>
        </w:rPr>
        <w:t> </w:t>
      </w:r>
      <w:r>
        <w:rPr>
          <w:rFonts w:ascii="Times New Roman" w:hAnsi="Times New Roman"/>
          <w:b w:val="false"/>
          <w:i w:val="false"/>
          <w:color w:val="000000"/>
          <w:sz w:val="22"/>
        </w:rPr>
        <w:t xml:space="preserve">“Nearby” in Iowa Code section </w:t>
      </w:r>
      <w:hyperlink r:id="rId14">
        <w:r>
          <w:rPr>
            <w:rStyle w:val="Hyperlink"/>
            <w:rFonts w:ascii="Times New Roman" w:hAnsi="Times New Roman"/>
            <w:b w:val="false"/>
            <w:i w:val="false"/>
            <w:color w:val="000000"/>
            <w:sz w:val="22"/>
          </w:rPr>
          <w:t>321.176(2)</w:t>
        </w:r>
      </w:hyperlink>
      <w:r>
        <w:rPr>
          <w:rFonts w:ascii="Times New Roman" w:hAnsi="Times New Roman"/>
          <w:b w:val="false"/>
          <w:i w:val="false"/>
          <w:color w:val="000000"/>
          <w:sz w:val="22"/>
        </w:rPr>
        <w:t xml:space="preserve"> shall mean a distance of not more than two miles.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321.176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4586C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761—605.4</w:t>
      </w:r>
      <w:r>
        <w:rPr>
          <w:rFonts w:ascii="Times New Roman" w:hAnsi="Times New Roman"/>
          <w:b/>
          <w:i w:val="false"/>
          <w:color w:val="000000"/>
          <w:sz w:val="22"/>
        </w:rPr>
        <w:t xml:space="preserve">(252J,321) </w:t>
      </w:r>
      <w:r>
        <w:rPr>
          <w:rFonts w:ascii="Times New Roman" w:hAnsi="Times New Roman"/>
          <w:b/>
          <w:i w:val="false"/>
          <w:color w:val="000000"/>
          <w:sz w:val="22"/>
        </w:rPr>
        <w:t xml:space="preserve">Persons not to be licensed.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605.4(1)</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knowingly issue a license to any person who is ineligible for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 knowingly license any person who is unable to operate a motor vehicle safely because of physical or mental disability until that person submits a medical report or vision report stating that the person is physically and mentally capable of operating a vehicle safely and passes the applicable examinations if required under </w:t>
      </w:r>
      <w:hyperlink r:id="rId16">
        <w:r>
          <w:rPr>
            <w:rStyle w:val="Hyperlink"/>
            <w:rFonts w:ascii="Times New Roman" w:hAnsi="Times New Roman"/>
            <w:b w:val="false"/>
            <w:i w:val="false"/>
            <w:color w:val="000000"/>
            <w:sz w:val="22"/>
          </w:rPr>
          <w:t>761—Chapter 604</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607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 knowingly license any person who has been specifically adjudged incompetent, pursuant to Iowa Code chapter </w:t>
      </w:r>
      <w:hyperlink r:id="rId18">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on or after January 1, 1976, including anyone admitted to a mental health facility prior to that date and not released until after, until the department receives specific adjudication that the person is competent. A medical report stating that the person is physically qualified to operate a motor vehicle safely shall also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605.4(4)</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knowingly license any person who suffers from syncope of any cause, any type of periodic or episodic loss of consciousness, or any paroxysmal disturbances of consciousness, including but not limited to epilepsy, until that person has not had an episode of loss of consciousness or loss of voluntary control for six months, and then only upon receipt of a medical report favorable toward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medical report indicates a pattern of only syncope, the department may license without a six-month episode-free period after favorable recommendation by the medical advisory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medical report indicates a pattern of such episodes only when the person is asleep or is sequestered for sleep, the department may license without a six-month episode-free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episode occurs when medications are withdrawn by a qualified medical professional, but the person is episode-free when placed back on medications, the department may license without a six-month episode-free period with a favorable recommendation from a neurologist.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medical report indicates the person experienced a single nonrecurring episode, the cause has been identified, the qualified medical professional is not treating the person for the episode or a contributing health condition, and the qualified medical professional believes the episode is unlikely to recur, the department may license without the six-month episode-free period with a favorable recommendation from a qualified medical professional. As used in this paragraph, a “single nonrecurring episode” means an incident that is not caused by a health condition and there is no history of prior episodes or a health condition that may cause such an episode.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605.4(5)</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license any person who must wear bioptic telescopic lenses to meet the visual acuity standard required for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605.4(6)</w:t>
      </w:r>
      <w:r>
        <w:rPr>
          <w:rFonts w:ascii="Times New Roman" w:hAnsi="Times New Roman"/>
          <w:b w:val="false"/>
          <w:i w:val="false"/>
          <w:color w:val="000000"/>
          <w:sz w:val="22"/>
        </w:rPr>
        <w:t> </w:t>
      </w:r>
      <w:r>
        <w:rPr>
          <w:rFonts w:ascii="Times New Roman" w:hAnsi="Times New Roman"/>
          <w:b w:val="false"/>
          <w:i w:val="false"/>
          <w:color w:val="000000"/>
          <w:sz w:val="22"/>
        </w:rPr>
        <w:t>When a medical report is required, a license shall be issued only if the report indicates that the person is qualified to operate a motor vehicle safely. The department may submit the report to the medical advisory board for an additional opinion.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605.4(7)</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receives evidence that an Iowa licensed driver has been adjudged incompetent or is not physically or mentally qualified to operate a motor vehicle safely, the department shall suspend the license for incapability, as explained in rule </w:t>
      </w:r>
      <w:hyperlink r:id="rId19">
        <w:r>
          <w:rPr>
            <w:rStyle w:val="Hyperlink"/>
            <w:rFonts w:ascii="Times New Roman" w:hAnsi="Times New Roman"/>
            <w:b w:val="false"/>
            <w:i w:val="false"/>
            <w:color w:val="000000"/>
            <w:sz w:val="22"/>
          </w:rPr>
          <w:t>761—615.14</w:t>
        </w:r>
      </w:hyperlink>
      <w:r>
        <w:rPr>
          <w:rFonts w:ascii="Times New Roman" w:hAnsi="Times New Roman"/>
          <w:b w:val="false"/>
          <w:i w:val="false"/>
          <w:color w:val="000000"/>
          <w:sz w:val="22"/>
        </w:rPr>
        <w:t xml:space="preserve">(321), or shall deny further licensing, as explained in rule </w:t>
      </w:r>
      <w:hyperlink r:id="rId20">
        <w:r>
          <w:rPr>
            <w:rStyle w:val="Hyperlink"/>
            <w:rFonts w:ascii="Times New Roman" w:hAnsi="Times New Roman"/>
            <w:b w:val="false"/>
            <w:i w:val="false"/>
            <w:color w:val="000000"/>
            <w:sz w:val="22"/>
          </w:rPr>
          <w:t>761—615.4</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605.4(8)</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 knowingly issue a license to a person who is the named individual on a certificate of noncompliance that has been received from the child support services, until the department receives a withdrawal of the certificate of noncompliance or unless an application has been filed pursuant to Iowa Code section </w:t>
      </w:r>
      <w:hyperlink r:id="rId21">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w:t>
      </w:r>
      <w:hyperlink r:id="rId28">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4586C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6969C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761—605.5</w:t>
      </w:r>
      <w:r>
        <w:rPr>
          <w:rFonts w:ascii="Times New Roman" w:hAnsi="Times New Roman"/>
          <w:b/>
          <w:i w:val="false"/>
          <w:color w:val="000000"/>
          <w:sz w:val="22"/>
        </w:rPr>
        <w:t xml:space="preserve">(321) </w:t>
      </w:r>
      <w:r>
        <w:rPr>
          <w:rFonts w:ascii="Times New Roman" w:hAnsi="Times New Roman"/>
          <w:b/>
          <w:i w:val="false"/>
          <w:color w:val="000000"/>
          <w:sz w:val="22"/>
        </w:rPr>
        <w:t xml:space="preserve">Contents of license. </w:t>
      </w:r>
      <w:r>
        <w:rPr>
          <w:rFonts w:ascii="Times New Roman" w:hAnsi="Times New Roman"/>
          <w:b w:val="false"/>
          <w:i w:val="false"/>
          <w:color w:val="000000"/>
          <w:sz w:val="22"/>
        </w:rPr>
        <w:t xml:space="preserve">In addition to the information specified in Iowa Code section </w:t>
      </w:r>
      <w:hyperlink r:id="rId30">
        <w:r>
          <w:rPr>
            <w:rStyle w:val="Hyperlink"/>
            <w:rFonts w:ascii="Times New Roman" w:hAnsi="Times New Roman"/>
            <w:b w:val="false"/>
            <w:i w:val="false"/>
            <w:color w:val="000000"/>
            <w:sz w:val="22"/>
          </w:rPr>
          <w:t>321.189(2)</w:t>
        </w:r>
      </w:hyperlink>
      <w:r>
        <w:rPr>
          <w:rFonts w:ascii="Times New Roman" w:hAnsi="Times New Roman"/>
          <w:b w:val="false"/>
          <w:i w:val="false"/>
          <w:color w:val="000000"/>
          <w:sz w:val="22"/>
        </w:rPr>
        <w:t>, the following information shall be shown on a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605.5(1)</w:t>
      </w:r>
      <w:r>
        <w:rPr>
          <w:rFonts w:ascii="Times New Roman" w:hAnsi="Times New Roman"/>
          <w:b w:val="false"/>
          <w:i w:val="false"/>
          <w:color w:val="000000"/>
          <w:sz w:val="22"/>
        </w:rPr>
        <w:t> </w:t>
      </w:r>
      <w:r>
        <w:rPr>
          <w:rFonts w:ascii="Times New Roman" w:hAnsi="Times New Roman"/>
          <w:b w:val="false"/>
          <w:i/>
          <w:color w:val="000000"/>
          <w:sz w:val="22"/>
        </w:rPr>
        <w:t xml:space="preserve">Name. </w:t>
      </w:r>
      <w:r>
        <w:rPr>
          <w:rFonts w:ascii="Times New Roman" w:hAnsi="Times New Roman"/>
          <w:b w:val="false"/>
          <w:i w:val="false"/>
          <w:color w:val="000000"/>
          <w:sz w:val="22"/>
        </w:rPr>
        <w:t xml:space="preserve">The licensee’s full legal name shall be listed as established according to </w:t>
      </w:r>
      <w:hyperlink r:id="rId31">
        <w:r>
          <w:rPr>
            <w:rStyle w:val="Hyperlink"/>
            <w:rFonts w:ascii="Times New Roman" w:hAnsi="Times New Roman"/>
            <w:b w:val="false"/>
            <w:i w:val="false"/>
            <w:color w:val="000000"/>
            <w:sz w:val="22"/>
          </w:rPr>
          <w:t>761—subrule 601.5(1)</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761—subrule 601.5(5)</w:t>
        </w:r>
      </w:hyperlink>
      <w:r>
        <w:rPr>
          <w:rFonts w:ascii="Times New Roman" w:hAnsi="Times New Roman"/>
          <w:b w:val="false"/>
          <w:i w:val="false"/>
          <w:color w:val="000000"/>
          <w:sz w:val="22"/>
        </w:rPr>
        <w:t xml:space="preserve"> and shall conform to the requirements of </w:t>
      </w:r>
      <w:hyperlink r:id="rId33">
        <w:r>
          <w:rPr>
            <w:rStyle w:val="Hyperlink"/>
            <w:rFonts w:ascii="Times New Roman" w:hAnsi="Times New Roman"/>
            <w:b w:val="false"/>
            <w:i w:val="false"/>
            <w:color w:val="000000"/>
            <w:sz w:val="22"/>
          </w:rPr>
          <w:t>761—subrule 601.1(2)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605.5(2)</w:t>
      </w:r>
      <w:r>
        <w:rPr>
          <w:rFonts w:ascii="Times New Roman" w:hAnsi="Times New Roman"/>
          <w:b w:val="false"/>
          <w:i w:val="false"/>
          <w:color w:val="000000"/>
          <w:sz w:val="22"/>
        </w:rPr>
        <w:t> </w:t>
      </w:r>
      <w:r>
        <w:rPr>
          <w:rFonts w:ascii="Times New Roman" w:hAnsi="Times New Roman"/>
          <w:b w:val="false"/>
          <w:i/>
          <w:color w:val="000000"/>
          <w:sz w:val="22"/>
        </w:rPr>
        <w:t xml:space="preserve">Current residential address. </w:t>
      </w:r>
      <w:r>
        <w:rPr>
          <w:rFonts w:ascii="Times New Roman" w:hAnsi="Times New Roman"/>
          <w:b w:val="false"/>
          <w:i w:val="false"/>
          <w:color w:val="000000"/>
          <w:sz w:val="22"/>
        </w:rPr>
        <w:t>The licensee’s current residential address shall be listed as established according to the requirements of 761—</w:t>
      </w:r>
      <w:hyperlink r:id="rId34">
        <w:r>
          <w:rPr>
            <w:rStyle w:val="Hyperlink"/>
            <w:rFonts w:ascii="Times New Roman" w:hAnsi="Times New Roman"/>
            <w:b w:val="false"/>
            <w:i w:val="false"/>
            <w:color w:val="000000"/>
            <w:sz w:val="22"/>
          </w:rPr>
          <w:t>subrule 601.1(6)</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761—subrule 601.5(3)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605.5(3)</w:t>
      </w:r>
      <w:r>
        <w:rPr>
          <w:rFonts w:ascii="Times New Roman" w:hAnsi="Times New Roman"/>
          <w:b w:val="false"/>
          <w:i w:val="false"/>
          <w:color w:val="000000"/>
          <w:sz w:val="22"/>
        </w:rPr>
        <w:t> </w:t>
      </w:r>
      <w:r>
        <w:rPr>
          <w:rFonts w:ascii="Times New Roman" w:hAnsi="Times New Roman"/>
          <w:b w:val="false"/>
          <w:i/>
          <w:color w:val="000000"/>
          <w:sz w:val="22"/>
        </w:rPr>
        <w:t xml:space="preserve">Physical description. </w:t>
      </w:r>
      <w:r>
        <w:rPr>
          <w:rFonts w:ascii="Times New Roman" w:hAnsi="Times New Roman"/>
          <w:b w:val="false"/>
          <w:i w:val="false"/>
          <w:color w:val="000000"/>
          <w:sz w:val="22"/>
        </w:rPr>
        <w:t xml:space="preserve">The physical description of the licensee on the face of the driver’s license shall include the following as established according to the requirements of </w:t>
      </w:r>
      <w:hyperlink r:id="rId36">
        <w:r>
          <w:rPr>
            <w:rStyle w:val="Hyperlink"/>
            <w:rFonts w:ascii="Times New Roman" w:hAnsi="Times New Roman"/>
            <w:b w:val="false"/>
            <w:i w:val="false"/>
            <w:color w:val="000000"/>
            <w:sz w:val="22"/>
          </w:rPr>
          <w:t>761—subrule 601.1(5)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licensee’s eye color using these abbreviations: Blk-black, Blu-blue, Bro-brown, Dic-dichromatic, Gry-gray, Grn-green, Haz-hazel, Pnk-pink and Unk-unknown.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licensee’s height in feet and inches.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605.5(4)</w:t>
      </w:r>
      <w:r>
        <w:rPr>
          <w:rFonts w:ascii="Times New Roman" w:hAnsi="Times New Roman"/>
          <w:b w:val="false"/>
          <w:i w:val="false"/>
          <w:color w:val="000000"/>
          <w:sz w:val="22"/>
        </w:rPr>
        <w:t> </w:t>
      </w:r>
      <w:r>
        <w:rPr>
          <w:rFonts w:ascii="Times New Roman" w:hAnsi="Times New Roman"/>
          <w:b w:val="false"/>
          <w:i/>
          <w:color w:val="000000"/>
          <w:sz w:val="22"/>
        </w:rPr>
        <w:t xml:space="preserve">Date of birth. </w:t>
      </w:r>
      <w:r>
        <w:rPr>
          <w:rFonts w:ascii="Times New Roman" w:hAnsi="Times New Roman"/>
          <w:b w:val="false"/>
          <w:i w:val="false"/>
          <w:color w:val="000000"/>
          <w:sz w:val="22"/>
        </w:rPr>
        <w:t xml:space="preserve">The licensee’s date of birth shall be listed as established according to </w:t>
      </w:r>
      <w:hyperlink r:id="rId37">
        <w:r>
          <w:rPr>
            <w:rStyle w:val="Hyperlink"/>
            <w:rFonts w:ascii="Times New Roman" w:hAnsi="Times New Roman"/>
            <w:b w:val="false"/>
            <w:i w:val="false"/>
            <w:color w:val="000000"/>
            <w:sz w:val="22"/>
          </w:rPr>
          <w:t>761—subrule 601.5(1)</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761—subrule 601.5(6)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605.5(5)</w:t>
      </w:r>
      <w:r>
        <w:rPr>
          <w:rFonts w:ascii="Times New Roman" w:hAnsi="Times New Roman"/>
          <w:b w:val="false"/>
          <w:i w:val="false"/>
          <w:color w:val="000000"/>
          <w:sz w:val="22"/>
        </w:rPr>
        <w:t> </w:t>
      </w:r>
      <w:r>
        <w:rPr>
          <w:rFonts w:ascii="Times New Roman" w:hAnsi="Times New Roman"/>
          <w:b w:val="false"/>
          <w:i/>
          <w:color w:val="000000"/>
          <w:sz w:val="22"/>
        </w:rPr>
        <w:t xml:space="preserve">Sex. </w:t>
      </w:r>
      <w:r>
        <w:rPr>
          <w:rFonts w:ascii="Times New Roman" w:hAnsi="Times New Roman"/>
          <w:b w:val="false"/>
          <w:i w:val="false"/>
          <w:color w:val="000000"/>
          <w:sz w:val="22"/>
        </w:rPr>
        <w:t xml:space="preserve">The licensee’s sex designation shall be listed as established according to the requirements of </w:t>
      </w:r>
      <w:hyperlink r:id="rId39">
        <w:r>
          <w:rPr>
            <w:rStyle w:val="Hyperlink"/>
            <w:rFonts w:ascii="Times New Roman" w:hAnsi="Times New Roman"/>
            <w:b w:val="false"/>
            <w:i w:val="false"/>
            <w:color w:val="000000"/>
            <w:sz w:val="22"/>
          </w:rPr>
          <w:t>761—subrule 601.5(7)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605.5(6)</w:t>
      </w:r>
      <w:r>
        <w:rPr>
          <w:rFonts w:ascii="Times New Roman" w:hAnsi="Times New Roman"/>
          <w:b w:val="false"/>
          <w:i w:val="false"/>
          <w:color w:val="000000"/>
          <w:sz w:val="22"/>
        </w:rPr>
        <w:t> </w:t>
      </w:r>
      <w:r>
        <w:rPr>
          <w:rFonts w:ascii="Times New Roman" w:hAnsi="Times New Roman"/>
          <w:b w:val="false"/>
          <w:i/>
          <w:color w:val="000000"/>
          <w:sz w:val="22"/>
        </w:rPr>
        <w:t xml:space="preserve">REAL ID markings.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driver’s license that is issued as a REAL ID license as defined in </w:t>
      </w:r>
      <w:hyperlink r:id="rId40">
        <w:r>
          <w:rPr>
            <w:rStyle w:val="Hyperlink"/>
            <w:rFonts w:ascii="Times New Roman" w:hAnsi="Times New Roman"/>
            <w:b w:val="false"/>
            <w:i w:val="false"/>
            <w:color w:val="000000"/>
            <w:sz w:val="22"/>
          </w:rPr>
          <w:t>761—601.7</w:t>
        </w:r>
      </w:hyperlink>
      <w:r>
        <w:rPr>
          <w:rFonts w:ascii="Times New Roman" w:hAnsi="Times New Roman"/>
          <w:b w:val="false"/>
          <w:i w:val="false"/>
          <w:color w:val="000000"/>
          <w:sz w:val="22"/>
        </w:rPr>
        <w:t>(321) shall include a security marking as required by 6 CFR 37.17(n).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driver’s license that is not issued as a REAL ID license as defined in </w:t>
      </w:r>
      <w:hyperlink r:id="rId41">
        <w:r>
          <w:rPr>
            <w:rStyle w:val="Hyperlink"/>
            <w:rFonts w:ascii="Times New Roman" w:hAnsi="Times New Roman"/>
            <w:b w:val="false"/>
            <w:i w:val="false"/>
            <w:color w:val="000000"/>
            <w:sz w:val="22"/>
          </w:rPr>
          <w:t>761—601.7</w:t>
        </w:r>
      </w:hyperlink>
      <w:r>
        <w:rPr>
          <w:rFonts w:ascii="Times New Roman" w:hAnsi="Times New Roman"/>
          <w:b w:val="false"/>
          <w:i w:val="false"/>
          <w:color w:val="000000"/>
          <w:sz w:val="22"/>
        </w:rPr>
        <w:t>(321) may be marked as required by 6 CFR 37.71 and any subsequent guidance issued by the U.S. Department of Homeland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driver’s license issued to a foreign national with temporary lawful status shall include the following statement on the face of the license: “limited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605.5(7)</w:t>
      </w:r>
      <w:r>
        <w:rPr>
          <w:rFonts w:ascii="Times New Roman" w:hAnsi="Times New Roman"/>
          <w:b w:val="false"/>
          <w:i w:val="false"/>
          <w:color w:val="000000"/>
          <w:sz w:val="22"/>
        </w:rPr>
        <w:t> </w:t>
      </w:r>
      <w:r>
        <w:rPr>
          <w:rFonts w:ascii="Times New Roman" w:hAnsi="Times New Roman"/>
          <w:b w:val="false"/>
          <w:i/>
          <w:color w:val="000000"/>
          <w:sz w:val="22"/>
        </w:rPr>
        <w:t xml:space="preserve">Voluntary markings. </w:t>
      </w:r>
      <w:r>
        <w:rPr>
          <w:rFonts w:ascii="Times New Roman" w:hAnsi="Times New Roman"/>
          <w:b w:val="false"/>
          <w:i w:val="false"/>
          <w:color w:val="000000"/>
          <w:sz w:val="22"/>
        </w:rPr>
        <w:t>Upon the request of the licensee, the department shall indicate on the driver’s license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presence of a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the licensee is a donor under the uniform anatomical gift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the licensee has in effect a medical advance directive.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That the licensee is hard of hearing or deaf.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That the licensee is a veteran.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eligible for a veteran designation, the licensee must be an honorably discharged veteran of the armed forces of the United States, the national guard or reserve forces. A licensee who requests a veteran designation shall submit Form 432035, properly completed by the licensee and a designee of the Iowa department of veterans affairs, or the licensee shall present certification of release or discharge from active duty, DD form 214, to the department indicating that the licensee was honorably discharged from active duty. A licensee who was a member of the national guard or reserve forces and who applies directly to the department must present a DD form 214 which indicates that the licensee was honorably discharged after serving for at least a minimum aggregate (total) of 90 days of active duty service for purposes other than training. A licensee who was a member of the national guard or reserve forces and who has a discharge document other than a DD form 214 must have the licensee’s eligibility for a veteran designation determined by a designee of the Iowa department of veterans affairs and shall apply to the department for a veteran designation by submitting Form 432035, properly completed by the licensee and a designee of the Iowa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consult with and defer to the Iowa department of veterans affairs regarding what constitutes a properly completed DD form 214 and veteran status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department denies issuance of a license with a veteran designation upon presentation of the DD form 214 to the department, the licensee may obtain a license with a veteran designation if the licensee submits Form 432035, properly completed by the licensee and a designee of the Iowa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department issues a veteran designation in error or as the result of fraud on the part of the licensee, the driver’s license with a veteran designation shall be canceled, and a duplicate license without the designation may be issued to the licensee. There shall be no charge to issue a duplicate license if the license was issued in error, unless the error was the result of fraud on the part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That the licensee has autism spectrum disorder.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
        <w:r>
          <w:rPr>
            <w:rStyle w:val="Hyperlink"/>
            <w:rFonts w:ascii="Times New Roman" w:hAnsi="Times New Roman"/>
            <w:b w:val="false"/>
            <w:i w:val="false"/>
            <w:color w:val="000000"/>
            <w:sz w:val="22"/>
          </w:rPr>
          <w:t>142C.3</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the </w:t>
      </w:r>
      <w:r>
        <w:rPr>
          <w:rFonts w:ascii="Times New Roman" w:hAnsi="Times New Roman"/>
          <w:b w:val="false"/>
          <w:i w:val="false"/>
          <w:color w:val="000000"/>
          <w:sz w:val="22"/>
        </w:rPr>
        <w:t>REAL ID Act of 2005 (49 U.S.C. Section 30301 note)</w:t>
      </w:r>
      <w:r>
        <w:rPr>
          <w:rFonts w:ascii="Times New Roman" w:hAnsi="Times New Roman"/>
          <w:b w:val="false"/>
          <w:i w:val="false"/>
          <w:color w:val="000000"/>
          <w:sz w:val="22"/>
        </w:rPr>
        <w:t xml:space="preserve">, and </w:t>
      </w:r>
      <w:r>
        <w:rPr>
          <w:rFonts w:ascii="Times New Roman" w:hAnsi="Times New Roman"/>
          <w:b w:val="false"/>
          <w:i w:val="false"/>
          <w:color w:val="000000"/>
          <w:sz w:val="22"/>
        </w:rPr>
        <w:t>6 CFR Part 37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0347C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1714C</w:t>
      </w:r>
      <w:r>
        <w:rPr>
          <w:rFonts w:ascii="Times New Roman" w:hAnsi="Times New Roman"/>
          <w:b w:val="false"/>
          <w:i w:val="false"/>
          <w:color w:val="000000"/>
          <w:sz w:val="16"/>
        </w:rPr>
        <w:t>, IAB 11/12/14, effective 12/17/14</w:t>
      </w:r>
      <w:r>
        <w:rPr>
          <w:rFonts w:ascii="Times New Roman" w:hAnsi="Times New Roman"/>
          <w:b w:val="false"/>
          <w:i w:val="false"/>
          <w:color w:val="000000"/>
          <w:sz w:val="16"/>
        </w:rPr>
        <w:t xml:space="preserve">; </w:t>
      </w:r>
      <w:r>
        <w:rPr>
          <w:rFonts w:ascii="Times New Roman" w:hAnsi="Times New Roman"/>
          <w:b/>
          <w:i w:val="false"/>
          <w:color w:val="000000"/>
          <w:sz w:val="16"/>
        </w:rPr>
        <w:t>ARC 2888C</w:t>
      </w:r>
      <w:r>
        <w:rPr>
          <w:rFonts w:ascii="Times New Roman" w:hAnsi="Times New Roman"/>
          <w:b w:val="false"/>
          <w:i w:val="false"/>
          <w:color w:val="000000"/>
          <w:sz w:val="16"/>
        </w:rPr>
        <w:t>, IAB 1/4/17, effective 2/8/17</w:t>
      </w:r>
      <w:r>
        <w:rPr>
          <w:rFonts w:ascii="Times New Roman" w:hAnsi="Times New Roman"/>
          <w:b w:val="false"/>
          <w:i w:val="false"/>
          <w:color w:val="000000"/>
          <w:sz w:val="16"/>
        </w:rPr>
        <w:t xml:space="preserve">; </w:t>
      </w:r>
      <w:r>
        <w:rPr>
          <w:rFonts w:ascii="Times New Roman" w:hAnsi="Times New Roman"/>
          <w:b/>
          <w:i w:val="false"/>
          <w:color w:val="000000"/>
          <w:sz w:val="16"/>
        </w:rPr>
        <w:t>ARC 4000C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4000C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4586C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5302C</w:t>
      </w:r>
      <w:r>
        <w:rPr>
          <w:rFonts w:ascii="Times New Roman" w:hAnsi="Times New Roman"/>
          <w:b w:val="false"/>
          <w:i w:val="false"/>
          <w:color w:val="000000"/>
          <w:sz w:val="16"/>
        </w:rPr>
        <w:t>, IAB 12/2/20, effective 1/6/21</w:t>
      </w:r>
      <w:r>
        <w:rPr>
          <w:rFonts w:ascii="Times New Roman" w:hAnsi="Times New Roman"/>
          <w:b w:val="false"/>
          <w:i w:val="false"/>
          <w:color w:val="000000"/>
          <w:sz w:val="16"/>
        </w:rPr>
        <w:t xml:space="preserve">; </w:t>
      </w:r>
      <w:r>
        <w:rPr>
          <w:rFonts w:ascii="Times New Roman" w:hAnsi="Times New Roman"/>
          <w:b/>
          <w:i w:val="false"/>
          <w:color w:val="000000"/>
          <w:sz w:val="16"/>
        </w:rPr>
        <w:t>ARC 6969C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761—605.6</w:t>
      </w:r>
      <w:r>
        <w:rPr>
          <w:rFonts w:ascii="Times New Roman" w:hAnsi="Times New Roman"/>
          <w:b/>
          <w:i w:val="false"/>
          <w:color w:val="000000"/>
          <w:sz w:val="22"/>
        </w:rPr>
        <w:t xml:space="preserve">(321) </w:t>
      </w:r>
      <w:r>
        <w:rPr>
          <w:rFonts w:ascii="Times New Roman" w:hAnsi="Times New Roman"/>
          <w:b/>
          <w:i w:val="false"/>
          <w:color w:val="000000"/>
          <w:sz w:val="22"/>
        </w:rPr>
        <w:t xml:space="preserve">License class. </w:t>
      </w:r>
      <w:r>
        <w:rPr>
          <w:rFonts w:ascii="Times New Roman" w:hAnsi="Times New Roman"/>
          <w:b w:val="false"/>
          <w:i w:val="false"/>
          <w:color w:val="000000"/>
          <w:sz w:val="22"/>
        </w:rPr>
        <w:t>The driver’s license class shall be coded on the face of the driver’s license using these codes:</w:t>
      </w:r>
    </w:p>
    <w:p>
      <w:pPr>
        <w:spacing w:before="0" w:after="0"/>
        <w:ind w:left="120"/>
        <w:jc w:val="both"/>
      </w:pPr>
      <w:r>
        <w:rPr>
          <w:rFonts w:ascii="Times New Roman" w:hAnsi="Times New Roman"/>
          <w:b w:val="false"/>
          <w:i w:val="false"/>
          <w:color w:val="000000"/>
          <w:sz w:val="22"/>
        </w:rPr>
        <w:t>Class A—commercial driver’s license</w:t>
      </w:r>
    </w:p>
    <w:p>
      <w:pPr>
        <w:spacing w:before="0" w:after="0"/>
        <w:ind w:left="120"/>
        <w:jc w:val="both"/>
      </w:pPr>
      <w:r>
        <w:rPr>
          <w:rFonts w:ascii="Times New Roman" w:hAnsi="Times New Roman"/>
          <w:b w:val="false"/>
          <w:i w:val="false"/>
          <w:color w:val="000000"/>
          <w:sz w:val="22"/>
        </w:rPr>
        <w:t>Class B—commercial driver’s license</w:t>
      </w:r>
    </w:p>
    <w:p>
      <w:pPr>
        <w:spacing w:before="0" w:after="0"/>
        <w:ind w:left="120"/>
        <w:jc w:val="both"/>
      </w:pPr>
      <w:r>
        <w:rPr>
          <w:rFonts w:ascii="Times New Roman" w:hAnsi="Times New Roman"/>
          <w:b w:val="false"/>
          <w:i w:val="false"/>
          <w:color w:val="000000"/>
          <w:sz w:val="22"/>
        </w:rPr>
        <w:t>Class C—commercial driver’s license</w:t>
      </w:r>
    </w:p>
    <w:p>
      <w:pPr>
        <w:spacing w:before="0" w:after="0"/>
        <w:ind w:left="120"/>
        <w:jc w:val="both"/>
      </w:pPr>
      <w:r>
        <w:rPr>
          <w:rFonts w:ascii="Times New Roman" w:hAnsi="Times New Roman"/>
          <w:b w:val="false"/>
          <w:i w:val="false"/>
          <w:color w:val="000000"/>
          <w:sz w:val="22"/>
        </w:rPr>
        <w:t>Class C—noncommercial driver’s license</w:t>
      </w:r>
    </w:p>
    <w:p>
      <w:pPr>
        <w:spacing w:before="0" w:after="0"/>
        <w:ind w:left="120"/>
        <w:jc w:val="both"/>
      </w:pPr>
      <w:r>
        <w:rPr>
          <w:rFonts w:ascii="Times New Roman" w:hAnsi="Times New Roman"/>
          <w:b w:val="false"/>
          <w:i w:val="false"/>
          <w:color w:val="000000"/>
          <w:sz w:val="22"/>
        </w:rPr>
        <w:t>Class D—noncommercial driver’s license, chauffeur</w:t>
      </w:r>
    </w:p>
    <w:p>
      <w:pPr>
        <w:spacing w:before="0" w:after="0"/>
        <w:ind w:left="120"/>
        <w:jc w:val="both"/>
      </w:pPr>
      <w:r>
        <w:rPr>
          <w:rFonts w:ascii="Times New Roman" w:hAnsi="Times New Roman"/>
          <w:b w:val="false"/>
          <w:i w:val="false"/>
          <w:color w:val="000000"/>
          <w:sz w:val="22"/>
        </w:rPr>
        <w:t>Class M—noncommercial driver’s license, motorcycle only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0347C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4586C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761—605.7</w:t>
      </w:r>
      <w:r>
        <w:rPr>
          <w:rFonts w:ascii="Times New Roman" w:hAnsi="Times New Roman"/>
          <w:b/>
          <w:i w:val="false"/>
          <w:color w:val="000000"/>
          <w:sz w:val="22"/>
        </w:rPr>
        <w:t xml:space="preserve">(321) </w:t>
      </w:r>
      <w:r>
        <w:rPr>
          <w:rFonts w:ascii="Times New Roman" w:hAnsi="Times New Roman"/>
          <w:b/>
          <w:i w:val="false"/>
          <w:color w:val="000000"/>
          <w:sz w:val="22"/>
        </w:rPr>
        <w:t xml:space="preserve">Endorsements. </w:t>
      </w:r>
      <w:r>
        <w:rPr>
          <w:rFonts w:ascii="Times New Roman" w:hAnsi="Times New Roman"/>
          <w:b w:val="false"/>
          <w:i w:val="false"/>
          <w:color w:val="000000"/>
          <w:sz w:val="22"/>
        </w:rPr>
        <w:t>The endorsements shall be coded on the face of the driver’s license and explained in text on the back of the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605.7(1)</w:t>
      </w:r>
      <w:r>
        <w:rPr>
          <w:rFonts w:ascii="Times New Roman" w:hAnsi="Times New Roman"/>
          <w:b w:val="false"/>
          <w:i w:val="false"/>
          <w:color w:val="000000"/>
          <w:sz w:val="22"/>
        </w:rPr>
        <w:t> </w:t>
      </w:r>
      <w:r>
        <w:rPr>
          <w:rFonts w:ascii="Times New Roman" w:hAnsi="Times New Roman"/>
          <w:b w:val="false"/>
          <w:i/>
          <w:color w:val="000000"/>
          <w:sz w:val="22"/>
        </w:rPr>
        <w:t xml:space="preserve">For a commercial driver’s license. </w:t>
      </w:r>
      <w:r>
        <w:rPr>
          <w:rFonts w:ascii="Times New Roman" w:hAnsi="Times New Roman"/>
          <w:b w:val="false"/>
          <w:i w:val="false"/>
          <w:color w:val="000000"/>
          <w:sz w:val="22"/>
        </w:rPr>
        <w:t>The following endorsements may be added to a Class A, B or C commercial driver’s license using these letter codes:</w:t>
      </w:r>
    </w:p>
    <w:p>
      <w:pPr>
        <w:spacing w:before="0" w:after="0"/>
        <w:ind w:left="120"/>
        <w:jc w:val="both"/>
      </w:pPr>
      <w:r>
        <w:rPr>
          <w:rFonts w:ascii="Times New Roman" w:hAnsi="Times New Roman"/>
          <w:b w:val="false"/>
          <w:i w:val="false"/>
          <w:color w:val="000000"/>
          <w:sz w:val="22"/>
        </w:rPr>
        <w:t>H—Hazardous material</w:t>
      </w:r>
    </w:p>
    <w:p>
      <w:pPr>
        <w:spacing w:before="0" w:after="0"/>
        <w:ind w:left="120"/>
        <w:jc w:val="both"/>
      </w:pPr>
      <w:r>
        <w:rPr>
          <w:rFonts w:ascii="Times New Roman" w:hAnsi="Times New Roman"/>
          <w:b w:val="false"/>
          <w:i w:val="false"/>
          <w:color w:val="000000"/>
          <w:sz w:val="22"/>
        </w:rPr>
        <w:t>P—Passenger</w:t>
      </w:r>
    </w:p>
    <w:p>
      <w:pPr>
        <w:spacing w:before="0" w:after="0"/>
        <w:ind w:left="120"/>
        <w:jc w:val="both"/>
      </w:pPr>
      <w:r>
        <w:rPr>
          <w:rFonts w:ascii="Times New Roman" w:hAnsi="Times New Roman"/>
          <w:b w:val="false"/>
          <w:i w:val="false"/>
          <w:color w:val="000000"/>
          <w:sz w:val="22"/>
        </w:rPr>
        <w:t>N—Tank</w:t>
      </w:r>
    </w:p>
    <w:p>
      <w:pPr>
        <w:spacing w:before="0" w:after="0"/>
        <w:ind w:left="120"/>
        <w:jc w:val="both"/>
      </w:pPr>
      <w:r>
        <w:rPr>
          <w:rFonts w:ascii="Times New Roman" w:hAnsi="Times New Roman"/>
          <w:b w:val="false"/>
          <w:i w:val="false"/>
          <w:color w:val="000000"/>
          <w:sz w:val="22"/>
        </w:rPr>
        <w:t>X—Hazardous material and tank</w:t>
      </w:r>
    </w:p>
    <w:p>
      <w:pPr>
        <w:spacing w:before="0" w:after="0"/>
        <w:ind w:left="120"/>
        <w:jc w:val="both"/>
      </w:pPr>
      <w:r>
        <w:rPr>
          <w:rFonts w:ascii="Times New Roman" w:hAnsi="Times New Roman"/>
          <w:b w:val="false"/>
          <w:i w:val="false"/>
          <w:color w:val="000000"/>
          <w:sz w:val="22"/>
        </w:rPr>
        <w:t>T—Double/triple trailers</w:t>
      </w:r>
    </w:p>
    <w:p>
      <w:pPr>
        <w:spacing w:before="0" w:after="0"/>
        <w:ind w:left="120"/>
        <w:jc w:val="both"/>
      </w:pPr>
      <w:r>
        <w:rPr>
          <w:rFonts w:ascii="Times New Roman" w:hAnsi="Times New Roman"/>
          <w:b w:val="false"/>
          <w:i w:val="false"/>
          <w:color w:val="000000"/>
          <w:sz w:val="22"/>
        </w:rPr>
        <w:t>S—School bus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605.7(2)</w:t>
      </w:r>
      <w:r>
        <w:rPr>
          <w:rFonts w:ascii="Times New Roman" w:hAnsi="Times New Roman"/>
          <w:b w:val="false"/>
          <w:i w:val="false"/>
          <w:color w:val="000000"/>
          <w:sz w:val="22"/>
        </w:rPr>
        <w:t> </w:t>
      </w:r>
      <w:r>
        <w:rPr>
          <w:rFonts w:ascii="Times New Roman" w:hAnsi="Times New Roman"/>
          <w:b w:val="false"/>
          <w:i/>
          <w:color w:val="000000"/>
          <w:sz w:val="22"/>
        </w:rPr>
        <w:t xml:space="preserve">For a commercial learner’s permit. </w:t>
      </w:r>
      <w:r>
        <w:rPr>
          <w:rFonts w:ascii="Times New Roman" w:hAnsi="Times New Roman"/>
          <w:b w:val="false"/>
          <w:i w:val="false"/>
          <w:color w:val="000000"/>
          <w:sz w:val="22"/>
        </w:rPr>
        <w:t>The following endorsements are the only endorsements that may be added to a commercial learner’s permit using these letter codes. All other endorsements are prohibited on a commercial learner’s permit.</w:t>
      </w:r>
    </w:p>
    <w:p>
      <w:pPr>
        <w:spacing w:before="0" w:after="0"/>
        <w:ind w:left="120"/>
        <w:jc w:val="both"/>
      </w:pPr>
      <w:r>
        <w:rPr>
          <w:rFonts w:ascii="Times New Roman" w:hAnsi="Times New Roman"/>
          <w:b w:val="false"/>
          <w:i w:val="false"/>
          <w:color w:val="000000"/>
          <w:sz w:val="22"/>
        </w:rPr>
        <w:t>P—Passenger</w:t>
      </w:r>
    </w:p>
    <w:p>
      <w:pPr>
        <w:spacing w:before="0" w:after="0"/>
        <w:ind w:left="120"/>
        <w:jc w:val="both"/>
      </w:pPr>
      <w:r>
        <w:rPr>
          <w:rFonts w:ascii="Times New Roman" w:hAnsi="Times New Roman"/>
          <w:b w:val="false"/>
          <w:i w:val="false"/>
          <w:color w:val="000000"/>
          <w:sz w:val="22"/>
        </w:rPr>
        <w:t>N—Tank</w:t>
      </w:r>
    </w:p>
    <w:p>
      <w:pPr>
        <w:spacing w:before="0" w:after="0"/>
        <w:ind w:left="120"/>
        <w:jc w:val="both"/>
      </w:pPr>
      <w:r>
        <w:rPr>
          <w:rFonts w:ascii="Times New Roman" w:hAnsi="Times New Roman"/>
          <w:b w:val="false"/>
          <w:i w:val="false"/>
          <w:color w:val="000000"/>
          <w:sz w:val="22"/>
        </w:rPr>
        <w:t>S—School bus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605.7(3)</w:t>
      </w:r>
      <w:r>
        <w:rPr>
          <w:rFonts w:ascii="Times New Roman" w:hAnsi="Times New Roman"/>
          <w:b w:val="false"/>
          <w:i w:val="false"/>
          <w:color w:val="000000"/>
          <w:sz w:val="22"/>
        </w:rPr>
        <w:t> </w:t>
      </w:r>
      <w:r>
        <w:rPr>
          <w:rFonts w:ascii="Times New Roman" w:hAnsi="Times New Roman"/>
          <w:b w:val="false"/>
          <w:i/>
          <w:color w:val="000000"/>
          <w:sz w:val="22"/>
        </w:rPr>
        <w:t xml:space="preserve">For a Class D driver’s license (chauffeur). </w:t>
      </w:r>
      <w:r>
        <w:rPr>
          <w:rFonts w:ascii="Times New Roman" w:hAnsi="Times New Roman"/>
          <w:b w:val="false"/>
          <w:i w:val="false"/>
          <w:color w:val="000000"/>
          <w:sz w:val="22"/>
        </w:rPr>
        <w:t>The following endorsement may be added to a Class D driver’s license using this number code:</w:t>
      </w:r>
    </w:p>
    <w:p>
      <w:pPr>
        <w:spacing w:before="0" w:after="0"/>
        <w:ind w:left="120"/>
        <w:jc w:val="both"/>
      </w:pPr>
      <w:r>
        <w:rPr>
          <w:rFonts w:ascii="Times New Roman" w:hAnsi="Times New Roman"/>
          <w:b w:val="false"/>
          <w:i w:val="false"/>
          <w:color w:val="000000"/>
          <w:sz w:val="22"/>
        </w:rPr>
        <w:t>3—Passenger vehicle less than 16-passenger design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605.7(4)</w:t>
      </w:r>
      <w:r>
        <w:rPr>
          <w:rFonts w:ascii="Times New Roman" w:hAnsi="Times New Roman"/>
          <w:b w:val="false"/>
          <w:i w:val="false"/>
          <w:color w:val="000000"/>
          <w:sz w:val="22"/>
        </w:rPr>
        <w:t> </w:t>
      </w:r>
      <w:r>
        <w:rPr>
          <w:rFonts w:ascii="Times New Roman" w:hAnsi="Times New Roman"/>
          <w:b w:val="false"/>
          <w:i/>
          <w:color w:val="000000"/>
          <w:sz w:val="22"/>
        </w:rPr>
        <w:t xml:space="preserve">Motorcycle endorsement. </w:t>
      </w:r>
      <w:r>
        <w:rPr>
          <w:rFonts w:ascii="Times New Roman" w:hAnsi="Times New Roman"/>
          <w:b w:val="false"/>
          <w:i w:val="false"/>
          <w:color w:val="000000"/>
          <w:sz w:val="22"/>
        </w:rPr>
        <w:t>A motorcycle endorsement may be added to any driver’s license that permits unaccompanied driving, other than a Class M driver’s license or a motorized bicycle license, using the following letter code:</w:t>
      </w:r>
    </w:p>
    <w:p>
      <w:pPr>
        <w:spacing w:before="0" w:after="0"/>
        <w:ind w:left="120"/>
        <w:jc w:val="both"/>
      </w:pPr>
      <w:r>
        <w:rPr>
          <w:rFonts w:ascii="Times New Roman" w:hAnsi="Times New Roman"/>
          <w:b w:val="false"/>
          <w:i w:val="false"/>
          <w:color w:val="000000"/>
          <w:sz w:val="22"/>
        </w:rPr>
        <w:t>L—Motorcycle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5">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w:t>
      </w:r>
      <w:hyperlink r:id="rId46">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4000C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4586C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5942C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6969C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761—605.8</w:t>
      </w:r>
      <w:r>
        <w:rPr>
          <w:rFonts w:ascii="Times New Roman" w:hAnsi="Times New Roman"/>
          <w:b/>
          <w:i w:val="false"/>
          <w:color w:val="000000"/>
          <w:sz w:val="22"/>
        </w:rPr>
        <w:t xml:space="preserve">(321) </w:t>
      </w:r>
      <w:r>
        <w:rPr>
          <w:rFonts w:ascii="Times New Roman" w:hAnsi="Times New Roman"/>
          <w:b/>
          <w:i w:val="false"/>
          <w:color w:val="000000"/>
          <w:sz w:val="22"/>
        </w:rPr>
        <w:t xml:space="preserve">Restrictions. </w:t>
      </w:r>
      <w:r>
        <w:rPr>
          <w:rFonts w:ascii="Times New Roman" w:hAnsi="Times New Roman"/>
          <w:b w:val="false"/>
          <w:i w:val="false"/>
          <w:color w:val="000000"/>
          <w:sz w:val="22"/>
        </w:rPr>
        <w:t>Restrictions shall be coded on the face of the driver’s license and explained in text on the back of the driver’s license. For purposes of this rule, “CMV” means commercial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605.8(1)</w:t>
      </w:r>
      <w:r>
        <w:rPr>
          <w:rFonts w:ascii="Times New Roman" w:hAnsi="Times New Roman"/>
          <w:b w:val="false"/>
          <w:i w:val="false"/>
          <w:color w:val="000000"/>
          <w:sz w:val="22"/>
        </w:rPr>
        <w:t> </w:t>
      </w:r>
      <w:r>
        <w:rPr>
          <w:rFonts w:ascii="Times New Roman" w:hAnsi="Times New Roman"/>
          <w:b w:val="false"/>
          <w:i/>
          <w:color w:val="000000"/>
          <w:sz w:val="22"/>
        </w:rPr>
        <w:t xml:space="preserve">For all licenses. </w:t>
      </w:r>
      <w:r>
        <w:rPr>
          <w:rFonts w:ascii="Times New Roman" w:hAnsi="Times New Roman"/>
          <w:b w:val="false"/>
          <w:i w:val="false"/>
          <w:color w:val="000000"/>
          <w:sz w:val="22"/>
        </w:rPr>
        <w:t>The following restrictions may apply to any driver’s license:</w:t>
      </w:r>
    </w:p>
    <w:p>
      <w:pPr>
        <w:spacing w:before="0" w:after="0"/>
        <w:ind w:left="120"/>
        <w:jc w:val="both"/>
      </w:pPr>
      <w:r>
        <w:rPr>
          <w:rFonts w:ascii="Times New Roman" w:hAnsi="Times New Roman"/>
          <w:b w:val="false"/>
          <w:i w:val="false"/>
          <w:color w:val="000000"/>
          <w:sz w:val="22"/>
        </w:rPr>
        <w:t>B—Corrective lenses required</w:t>
      </w:r>
    </w:p>
    <w:p>
      <w:pPr>
        <w:spacing w:before="0" w:after="0"/>
        <w:ind w:left="120"/>
        <w:jc w:val="both"/>
      </w:pPr>
      <w:r>
        <w:rPr>
          <w:rFonts w:ascii="Times New Roman" w:hAnsi="Times New Roman"/>
          <w:b w:val="false"/>
          <w:i w:val="false"/>
          <w:color w:val="000000"/>
          <w:sz w:val="22"/>
        </w:rPr>
        <w:t>C—Mechanical aid (as detailed in the restriction on the back of the card)</w:t>
      </w:r>
    </w:p>
    <w:p>
      <w:pPr>
        <w:spacing w:before="0" w:after="0"/>
        <w:ind w:left="120"/>
        <w:jc w:val="both"/>
      </w:pPr>
      <w:r>
        <w:rPr>
          <w:rFonts w:ascii="Times New Roman" w:hAnsi="Times New Roman"/>
          <w:b w:val="false"/>
          <w:i w:val="false"/>
          <w:color w:val="000000"/>
          <w:sz w:val="22"/>
        </w:rPr>
        <w:t>D—Prosthetic aid (as detailed in the restriction on the back of the card)</w:t>
      </w:r>
    </w:p>
    <w:p>
      <w:pPr>
        <w:spacing w:before="0" w:after="0"/>
        <w:ind w:left="120"/>
        <w:jc w:val="both"/>
      </w:pPr>
      <w:r>
        <w:rPr>
          <w:rFonts w:ascii="Times New Roman" w:hAnsi="Times New Roman"/>
          <w:b w:val="false"/>
          <w:i w:val="false"/>
          <w:color w:val="000000"/>
          <w:sz w:val="22"/>
        </w:rPr>
        <w:t>F—Left and right outside rearview mirrors</w:t>
      </w:r>
    </w:p>
    <w:p>
      <w:pPr>
        <w:spacing w:before="0" w:after="0"/>
        <w:ind w:left="120"/>
        <w:jc w:val="both"/>
      </w:pPr>
      <w:r>
        <w:rPr>
          <w:rFonts w:ascii="Times New Roman" w:hAnsi="Times New Roman"/>
          <w:b w:val="false"/>
          <w:i w:val="false"/>
          <w:color w:val="000000"/>
          <w:sz w:val="22"/>
        </w:rPr>
        <w:t>G—No driving when headlights required</w:t>
      </w:r>
    </w:p>
    <w:p>
      <w:pPr>
        <w:spacing w:before="0" w:after="0"/>
        <w:ind w:left="120"/>
        <w:jc w:val="both"/>
      </w:pPr>
      <w:r>
        <w:rPr>
          <w:rFonts w:ascii="Times New Roman" w:hAnsi="Times New Roman"/>
          <w:b w:val="false"/>
          <w:i w:val="false"/>
          <w:color w:val="000000"/>
          <w:sz w:val="22"/>
        </w:rPr>
        <w:t>H—Temporary restricted license or permit (work permit)</w:t>
      </w:r>
    </w:p>
    <w:p>
      <w:pPr>
        <w:spacing w:before="0" w:after="0"/>
        <w:ind w:left="120"/>
        <w:jc w:val="both"/>
      </w:pPr>
      <w:r>
        <w:rPr>
          <w:rFonts w:ascii="Times New Roman" w:hAnsi="Times New Roman"/>
          <w:b w:val="false"/>
          <w:i w:val="false"/>
          <w:color w:val="000000"/>
          <w:sz w:val="22"/>
        </w:rPr>
        <w:t>I—Ignition interlock required</w:t>
      </w:r>
    </w:p>
    <w:p>
      <w:pPr>
        <w:spacing w:before="0" w:after="0"/>
        <w:ind w:left="120"/>
        <w:jc w:val="both"/>
      </w:pPr>
      <w:r>
        <w:rPr>
          <w:rFonts w:ascii="Times New Roman" w:hAnsi="Times New Roman"/>
          <w:b w:val="false"/>
          <w:i w:val="false"/>
          <w:color w:val="000000"/>
          <w:sz w:val="22"/>
        </w:rPr>
        <w:t>J—Restrictions on the back of card</w:t>
      </w:r>
    </w:p>
    <w:p>
      <w:pPr>
        <w:spacing w:before="0" w:after="0"/>
        <w:ind w:left="120"/>
        <w:jc w:val="both"/>
      </w:pPr>
      <w:r>
        <w:rPr>
          <w:rFonts w:ascii="Times New Roman" w:hAnsi="Times New Roman"/>
          <w:b w:val="false"/>
          <w:i w:val="false"/>
          <w:color w:val="000000"/>
          <w:sz w:val="22"/>
        </w:rPr>
        <w:t>S—SR required (proof of financial responsibility for the future)</w:t>
      </w:r>
    </w:p>
    <w:p>
      <w:pPr>
        <w:spacing w:before="0" w:after="0"/>
        <w:ind w:left="120"/>
        <w:jc w:val="both"/>
      </w:pPr>
      <w:r>
        <w:rPr>
          <w:rFonts w:ascii="Times New Roman" w:hAnsi="Times New Roman"/>
          <w:b w:val="false"/>
          <w:i w:val="false"/>
          <w:color w:val="000000"/>
          <w:sz w:val="22"/>
        </w:rPr>
        <w:t>T—Medical report required at renewal</w:t>
      </w:r>
    </w:p>
    <w:p>
      <w:pPr>
        <w:spacing w:before="0" w:after="0"/>
        <w:ind w:left="120"/>
        <w:jc w:val="both"/>
      </w:pPr>
      <w:r>
        <w:rPr>
          <w:rFonts w:ascii="Times New Roman" w:hAnsi="Times New Roman"/>
          <w:b w:val="false"/>
          <w:i w:val="false"/>
          <w:color w:val="000000"/>
          <w:sz w:val="22"/>
        </w:rPr>
        <w:t>U—Not valid for 2-wheel vehicle</w:t>
      </w:r>
    </w:p>
    <w:p>
      <w:pPr>
        <w:spacing w:before="0" w:after="0"/>
        <w:ind w:left="120"/>
        <w:jc w:val="both"/>
      </w:pPr>
      <w:r>
        <w:rPr>
          <w:rFonts w:ascii="Times New Roman" w:hAnsi="Times New Roman"/>
          <w:b w:val="false"/>
          <w:i w:val="false"/>
          <w:color w:val="000000"/>
          <w:sz w:val="22"/>
        </w:rPr>
        <w:t>W—Restricted commercial driver’s license (CDL)</w:t>
      </w:r>
    </w:p>
    <w:p>
      <w:pPr>
        <w:spacing w:before="0" w:after="0"/>
        <w:ind w:left="120"/>
        <w:jc w:val="both"/>
      </w:pPr>
      <w:r>
        <w:rPr>
          <w:rFonts w:ascii="Times New Roman" w:hAnsi="Times New Roman"/>
          <w:b w:val="false"/>
          <w:i w:val="false"/>
          <w:color w:val="000000"/>
          <w:sz w:val="22"/>
        </w:rPr>
        <w:t>Y—Intermediate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605.8(2)</w:t>
      </w:r>
      <w:r>
        <w:rPr>
          <w:rFonts w:ascii="Times New Roman" w:hAnsi="Times New Roman"/>
          <w:b w:val="false"/>
          <w:i w:val="false"/>
          <w:color w:val="000000"/>
          <w:sz w:val="22"/>
        </w:rPr>
        <w:t> </w:t>
      </w:r>
      <w:r>
        <w:rPr>
          <w:rFonts w:ascii="Times New Roman" w:hAnsi="Times New Roman"/>
          <w:b w:val="false"/>
          <w:i/>
          <w:color w:val="000000"/>
          <w:sz w:val="22"/>
        </w:rPr>
        <w:t xml:space="preserve">For a noncommercial driver’s license. </w:t>
      </w:r>
      <w:r>
        <w:rPr>
          <w:rFonts w:ascii="Times New Roman" w:hAnsi="Times New Roman"/>
          <w:b w:val="false"/>
          <w:i w:val="false"/>
          <w:color w:val="000000"/>
          <w:sz w:val="22"/>
        </w:rPr>
        <w:t>The following restrictions apply only to a noncommercial driver’s license:</w:t>
      </w:r>
    </w:p>
    <w:p>
      <w:pPr>
        <w:spacing w:before="0" w:after="0"/>
        <w:ind w:left="120"/>
        <w:jc w:val="both"/>
      </w:pPr>
      <w:r>
        <w:rPr>
          <w:rFonts w:ascii="Times New Roman" w:hAnsi="Times New Roman"/>
          <w:b w:val="false"/>
          <w:i w:val="false"/>
          <w:color w:val="000000"/>
          <w:sz w:val="22"/>
        </w:rPr>
        <w:t>8—Special instruction permit</w:t>
      </w:r>
    </w:p>
    <w:p>
      <w:pPr>
        <w:spacing w:before="0" w:after="0"/>
        <w:ind w:left="120"/>
        <w:jc w:val="both"/>
      </w:pPr>
      <w:r>
        <w:rPr>
          <w:rFonts w:ascii="Times New Roman" w:hAnsi="Times New Roman"/>
          <w:b w:val="false"/>
          <w:i w:val="false"/>
          <w:color w:val="000000"/>
          <w:sz w:val="22"/>
        </w:rPr>
        <w:t>9—Passenger restriction for intermediate license</w:t>
      </w:r>
    </w:p>
    <w:p>
      <w:pPr>
        <w:spacing w:before="0" w:after="0"/>
        <w:ind w:left="120"/>
        <w:jc w:val="both"/>
      </w:pPr>
      <w:r>
        <w:rPr>
          <w:rFonts w:ascii="Times New Roman" w:hAnsi="Times New Roman"/>
          <w:b w:val="false"/>
          <w:i w:val="false"/>
          <w:color w:val="000000"/>
          <w:sz w:val="22"/>
        </w:rPr>
        <w:t>Q—No interstate or freeway driving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605.8(3)</w:t>
      </w:r>
      <w:r>
        <w:rPr>
          <w:rFonts w:ascii="Times New Roman" w:hAnsi="Times New Roman"/>
          <w:b w:val="false"/>
          <w:i w:val="false"/>
          <w:color w:val="000000"/>
          <w:sz w:val="22"/>
        </w:rPr>
        <w:t> </w:t>
      </w:r>
      <w:r>
        <w:rPr>
          <w:rFonts w:ascii="Times New Roman" w:hAnsi="Times New Roman"/>
          <w:b w:val="false"/>
          <w:i/>
          <w:color w:val="000000"/>
          <w:sz w:val="22"/>
        </w:rPr>
        <w:t xml:space="preserve">For a commercial driver’s license. </w:t>
      </w:r>
      <w:r>
        <w:rPr>
          <w:rFonts w:ascii="Times New Roman" w:hAnsi="Times New Roman"/>
          <w:b w:val="false"/>
          <w:i w:val="false"/>
          <w:color w:val="000000"/>
          <w:sz w:val="22"/>
        </w:rPr>
        <w:t>The following restrictions apply to a commercial driver’s license:</w:t>
      </w:r>
    </w:p>
    <w:p>
      <w:pPr>
        <w:spacing w:before="0" w:after="0"/>
        <w:ind w:left="120"/>
        <w:jc w:val="both"/>
      </w:pPr>
      <w:r>
        <w:rPr>
          <w:rFonts w:ascii="Times New Roman" w:hAnsi="Times New Roman"/>
          <w:b w:val="false"/>
          <w:i w:val="false"/>
          <w:color w:val="000000"/>
          <w:sz w:val="22"/>
        </w:rPr>
        <w:t>E—No manual transmission equipped CMV</w:t>
      </w:r>
    </w:p>
    <w:p>
      <w:pPr>
        <w:spacing w:before="0" w:after="0"/>
        <w:ind w:left="120"/>
        <w:jc w:val="both"/>
      </w:pPr>
      <w:r>
        <w:rPr>
          <w:rFonts w:ascii="Times New Roman" w:hAnsi="Times New Roman"/>
          <w:b w:val="false"/>
          <w:i w:val="false"/>
          <w:color w:val="000000"/>
          <w:sz w:val="22"/>
        </w:rPr>
        <w:t>K—Intrastate only</w:t>
      </w:r>
    </w:p>
    <w:p>
      <w:pPr>
        <w:spacing w:before="0" w:after="0"/>
        <w:ind w:left="120"/>
        <w:jc w:val="both"/>
      </w:pPr>
      <w:r>
        <w:rPr>
          <w:rFonts w:ascii="Times New Roman" w:hAnsi="Times New Roman"/>
          <w:b w:val="false"/>
          <w:i w:val="false"/>
          <w:color w:val="000000"/>
          <w:sz w:val="22"/>
        </w:rPr>
        <w:t>L—No air brake equipped CMV</w:t>
      </w:r>
    </w:p>
    <w:p>
      <w:pPr>
        <w:spacing w:before="0" w:after="0"/>
        <w:ind w:left="120"/>
        <w:jc w:val="both"/>
      </w:pPr>
      <w:r>
        <w:rPr>
          <w:rFonts w:ascii="Times New Roman" w:hAnsi="Times New Roman"/>
          <w:b w:val="false"/>
          <w:i w:val="false"/>
          <w:color w:val="000000"/>
          <w:sz w:val="22"/>
        </w:rPr>
        <w:t>M—No Class A passenger vehicle</w:t>
      </w:r>
    </w:p>
    <w:p>
      <w:pPr>
        <w:spacing w:before="0" w:after="0"/>
        <w:ind w:left="120"/>
        <w:jc w:val="both"/>
      </w:pPr>
      <w:r>
        <w:rPr>
          <w:rFonts w:ascii="Times New Roman" w:hAnsi="Times New Roman"/>
          <w:b w:val="false"/>
          <w:i w:val="false"/>
          <w:color w:val="000000"/>
          <w:sz w:val="22"/>
        </w:rPr>
        <w:t>N—No Class A and B passenger vehicle</w:t>
      </w:r>
    </w:p>
    <w:p>
      <w:pPr>
        <w:spacing w:before="0" w:after="0"/>
        <w:ind w:left="120"/>
        <w:jc w:val="both"/>
      </w:pPr>
      <w:r>
        <w:rPr>
          <w:rFonts w:ascii="Times New Roman" w:hAnsi="Times New Roman"/>
          <w:b w:val="false"/>
          <w:i w:val="false"/>
          <w:color w:val="000000"/>
          <w:sz w:val="22"/>
        </w:rPr>
        <w:t>O—No tractor trailer CMV</w:t>
      </w:r>
    </w:p>
    <w:p>
      <w:pPr>
        <w:spacing w:before="0" w:after="0"/>
        <w:ind w:left="120"/>
        <w:jc w:val="both"/>
      </w:pPr>
      <w:r>
        <w:rPr>
          <w:rFonts w:ascii="Times New Roman" w:hAnsi="Times New Roman"/>
          <w:b w:val="false"/>
          <w:i w:val="false"/>
          <w:color w:val="000000"/>
          <w:sz w:val="22"/>
        </w:rPr>
        <w:t>V—Medical variance</w:t>
      </w:r>
    </w:p>
    <w:p>
      <w:pPr>
        <w:spacing w:before="0" w:after="0"/>
        <w:ind w:left="120"/>
        <w:jc w:val="both"/>
      </w:pPr>
      <w:r>
        <w:rPr>
          <w:rFonts w:ascii="Times New Roman" w:hAnsi="Times New Roman"/>
          <w:b w:val="false"/>
          <w:i w:val="false"/>
          <w:color w:val="000000"/>
          <w:sz w:val="22"/>
        </w:rPr>
        <w:t>Z—No full air brake equipped CMV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605.8(4)</w:t>
      </w:r>
      <w:r>
        <w:rPr>
          <w:rFonts w:ascii="Times New Roman" w:hAnsi="Times New Roman"/>
          <w:b w:val="false"/>
          <w:i w:val="false"/>
          <w:color w:val="000000"/>
          <w:sz w:val="22"/>
        </w:rPr>
        <w:t> </w:t>
      </w:r>
      <w:r>
        <w:rPr>
          <w:rFonts w:ascii="Times New Roman" w:hAnsi="Times New Roman"/>
          <w:b w:val="false"/>
          <w:i/>
          <w:color w:val="000000"/>
          <w:sz w:val="22"/>
        </w:rPr>
        <w:t xml:space="preserve">For a commercial learner’s permit. </w:t>
      </w:r>
      <w:r>
        <w:rPr>
          <w:rFonts w:ascii="Times New Roman" w:hAnsi="Times New Roman"/>
          <w:b w:val="false"/>
          <w:i w:val="false"/>
          <w:color w:val="000000"/>
          <w:sz w:val="22"/>
        </w:rPr>
        <w:t>The following restrictions apply to a commercial learner’s permit.</w:t>
      </w:r>
    </w:p>
    <w:p>
      <w:pPr>
        <w:spacing w:before="0" w:after="0"/>
        <w:ind w:left="120"/>
        <w:jc w:val="both"/>
      </w:pPr>
      <w:r>
        <w:rPr>
          <w:rFonts w:ascii="Times New Roman" w:hAnsi="Times New Roman"/>
          <w:b w:val="false"/>
          <w:i w:val="false"/>
          <w:color w:val="000000"/>
          <w:sz w:val="22"/>
        </w:rPr>
        <w:t>K—Intrastate only</w:t>
      </w:r>
    </w:p>
    <w:p>
      <w:pPr>
        <w:spacing w:before="0" w:after="0"/>
        <w:ind w:left="120"/>
        <w:jc w:val="both"/>
      </w:pPr>
      <w:r>
        <w:rPr>
          <w:rFonts w:ascii="Times New Roman" w:hAnsi="Times New Roman"/>
          <w:b w:val="false"/>
          <w:i w:val="false"/>
          <w:color w:val="000000"/>
          <w:sz w:val="22"/>
        </w:rPr>
        <w:t>L—No air brake equipped CMV</w:t>
      </w:r>
    </w:p>
    <w:p>
      <w:pPr>
        <w:spacing w:before="0" w:after="0"/>
        <w:ind w:left="120"/>
        <w:jc w:val="both"/>
      </w:pPr>
      <w:r>
        <w:rPr>
          <w:rFonts w:ascii="Times New Roman" w:hAnsi="Times New Roman"/>
          <w:b w:val="false"/>
          <w:i w:val="false"/>
          <w:color w:val="000000"/>
          <w:sz w:val="22"/>
        </w:rPr>
        <w:t>M—No Class A passenger vehicle</w:t>
      </w:r>
    </w:p>
    <w:p>
      <w:pPr>
        <w:spacing w:before="0" w:after="0"/>
        <w:ind w:left="120"/>
        <w:jc w:val="both"/>
      </w:pPr>
      <w:r>
        <w:rPr>
          <w:rFonts w:ascii="Times New Roman" w:hAnsi="Times New Roman"/>
          <w:b w:val="false"/>
          <w:i w:val="false"/>
          <w:color w:val="000000"/>
          <w:sz w:val="22"/>
        </w:rPr>
        <w:t>N—No Class A and B passenger vehicle</w:t>
      </w:r>
    </w:p>
    <w:p>
      <w:pPr>
        <w:spacing w:before="0" w:after="0"/>
        <w:ind w:left="120"/>
        <w:jc w:val="both"/>
      </w:pPr>
      <w:r>
        <w:rPr>
          <w:rFonts w:ascii="Times New Roman" w:hAnsi="Times New Roman"/>
          <w:b w:val="false"/>
          <w:i w:val="false"/>
          <w:color w:val="000000"/>
          <w:sz w:val="22"/>
        </w:rPr>
        <w:t>P—No passengers in CMV bus</w:t>
      </w:r>
    </w:p>
    <w:p>
      <w:pPr>
        <w:spacing w:before="0" w:after="0"/>
        <w:ind w:left="120"/>
        <w:jc w:val="both"/>
      </w:pPr>
      <w:r>
        <w:rPr>
          <w:rFonts w:ascii="Times New Roman" w:hAnsi="Times New Roman"/>
          <w:b w:val="false"/>
          <w:i w:val="false"/>
          <w:color w:val="000000"/>
          <w:sz w:val="22"/>
        </w:rPr>
        <w:t>V—Medical variance</w:t>
      </w:r>
    </w:p>
    <w:p>
      <w:pPr>
        <w:spacing w:before="0" w:after="0"/>
        <w:ind w:left="120"/>
        <w:jc w:val="both"/>
      </w:pPr>
      <w:r>
        <w:rPr>
          <w:rFonts w:ascii="Times New Roman" w:hAnsi="Times New Roman"/>
          <w:b w:val="false"/>
          <w:i w:val="false"/>
          <w:color w:val="000000"/>
          <w:sz w:val="22"/>
        </w:rPr>
        <w:t>X—No cargo in CMV tank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605.8(5)</w:t>
      </w:r>
      <w:r>
        <w:rPr>
          <w:rFonts w:ascii="Times New Roman" w:hAnsi="Times New Roman"/>
          <w:b w:val="false"/>
          <w:i w:val="false"/>
          <w:color w:val="000000"/>
          <w:sz w:val="22"/>
        </w:rPr>
        <w:t> </w:t>
      </w:r>
      <w:r>
        <w:rPr>
          <w:rFonts w:ascii="Times New Roman" w:hAnsi="Times New Roman"/>
          <w:b w:val="false"/>
          <w:i/>
          <w:color w:val="000000"/>
          <w:sz w:val="22"/>
        </w:rPr>
        <w:t xml:space="preserve">Special licenses. </w:t>
      </w:r>
      <w:r>
        <w:rPr>
          <w:rFonts w:ascii="Times New Roman" w:hAnsi="Times New Roman"/>
          <w:b w:val="false"/>
          <w:i w:val="false"/>
          <w:color w:val="000000"/>
          <w:sz w:val="22"/>
        </w:rPr>
        <w:t>A numbered restriction will designate a special driver’s license using these codes:</w:t>
      </w:r>
    </w:p>
    <w:p>
      <w:pPr>
        <w:spacing w:before="0" w:after="0"/>
        <w:ind w:left="120"/>
        <w:jc w:val="both"/>
      </w:pPr>
      <w:r>
        <w:rPr>
          <w:rFonts w:ascii="Times New Roman" w:hAnsi="Times New Roman"/>
          <w:b w:val="false"/>
          <w:i w:val="false"/>
          <w:color w:val="000000"/>
          <w:sz w:val="22"/>
        </w:rPr>
        <w:t>1—Motorcycle instruction permit</w:t>
      </w:r>
    </w:p>
    <w:p>
      <w:pPr>
        <w:spacing w:before="0" w:after="0"/>
        <w:ind w:left="120"/>
        <w:jc w:val="both"/>
      </w:pPr>
      <w:r>
        <w:rPr>
          <w:rFonts w:ascii="Times New Roman" w:hAnsi="Times New Roman"/>
          <w:b w:val="false"/>
          <w:i w:val="false"/>
          <w:color w:val="000000"/>
          <w:sz w:val="22"/>
        </w:rPr>
        <w:t>2—Noncommercial instruction permit (vehicle less than 16,001 gross vehicle weight rating)</w:t>
      </w:r>
    </w:p>
    <w:p>
      <w:pPr>
        <w:spacing w:before="0" w:after="0"/>
        <w:ind w:left="120"/>
        <w:jc w:val="both"/>
      </w:pPr>
      <w:r>
        <w:rPr>
          <w:rFonts w:ascii="Times New Roman" w:hAnsi="Times New Roman"/>
          <w:b w:val="false"/>
          <w:i w:val="false"/>
          <w:color w:val="000000"/>
          <w:sz w:val="22"/>
        </w:rPr>
        <w:t>3—Commercial learner’s permit</w:t>
      </w:r>
    </w:p>
    <w:p>
      <w:pPr>
        <w:spacing w:before="0" w:after="0"/>
        <w:ind w:left="120"/>
        <w:jc w:val="both"/>
      </w:pPr>
      <w:r>
        <w:rPr>
          <w:rFonts w:ascii="Times New Roman" w:hAnsi="Times New Roman"/>
          <w:b w:val="false"/>
          <w:i w:val="false"/>
          <w:color w:val="000000"/>
          <w:sz w:val="22"/>
        </w:rPr>
        <w:t>4—Chauffeur’s instruction permit</w:t>
      </w:r>
    </w:p>
    <w:p>
      <w:pPr>
        <w:spacing w:before="0" w:after="0"/>
        <w:ind w:left="120"/>
        <w:jc w:val="both"/>
      </w:pPr>
      <w:r>
        <w:rPr>
          <w:rFonts w:ascii="Times New Roman" w:hAnsi="Times New Roman"/>
          <w:b w:val="false"/>
          <w:i w:val="false"/>
          <w:color w:val="000000"/>
          <w:sz w:val="22"/>
        </w:rPr>
        <w:t>5—Motorized bicycle license</w:t>
      </w:r>
    </w:p>
    <w:p>
      <w:pPr>
        <w:spacing w:before="0" w:after="0"/>
        <w:ind w:left="120"/>
        <w:jc w:val="both"/>
      </w:pPr>
      <w:r>
        <w:rPr>
          <w:rFonts w:ascii="Times New Roman" w:hAnsi="Times New Roman"/>
          <w:b w:val="false"/>
          <w:i w:val="false"/>
          <w:color w:val="000000"/>
          <w:sz w:val="22"/>
        </w:rPr>
        <w:t>6—Minor’s restricted license</w:t>
      </w:r>
    </w:p>
    <w:p>
      <w:pPr>
        <w:spacing w:before="0" w:after="0"/>
        <w:ind w:left="120"/>
        <w:jc w:val="both"/>
      </w:pPr>
      <w:r>
        <w:rPr>
          <w:rFonts w:ascii="Times New Roman" w:hAnsi="Times New Roman"/>
          <w:b w:val="false"/>
          <w:i w:val="false"/>
          <w:color w:val="000000"/>
          <w:sz w:val="22"/>
        </w:rPr>
        <w:t>7—Minor’s school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605.8(6)</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 Recall of current licensees. </w:t>
      </w:r>
      <w:r>
        <w:rPr>
          <w:rFonts w:ascii="Times New Roman" w:hAnsi="Times New Roman"/>
          <w:b w:val="false"/>
          <w:i w:val="false"/>
          <w:color w:val="000000"/>
          <w:sz w:val="22"/>
        </w:rPr>
        <w:t>Based on information disclosed by the applicant to the department, or the department’s knowledge of a licensee’s physical or mental condition, the department may issue a restriction requiring a person to complete additional examination or submit additional information at a specified time to retain a valid license. The department may require a medical report to be submitted. The department shall send Form 430511 as a reminder to submit the requested information or appear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Loss of consciousness or voluntary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person is licensed pursuant to paragraphs </w:t>
      </w:r>
      <w:hyperlink r:id="rId48">
        <w:r>
          <w:rPr>
            <w:rStyle w:val="Hyperlink"/>
            <w:rFonts w:ascii="Times New Roman" w:hAnsi="Times New Roman"/>
            <w:b w:val="false"/>
            <w:i w:val="false"/>
            <w:color w:val="000000"/>
            <w:sz w:val="22"/>
          </w:rPr>
          <w:t>605.4(4)</w:t>
        </w:r>
      </w:hyperlink>
      <w:r>
        <w:rPr>
          <w:rFonts w:ascii="Times New Roman" w:hAnsi="Times New Roman"/>
          <w:b w:val="false"/>
          <w:i/>
          <w:color w:val="000000"/>
          <w:sz w:val="22"/>
        </w:rPr>
        <w:t>“a,”</w:t>
      </w:r>
      <w:r>
        <w:rPr>
          <w:rFonts w:ascii="Times New Roman" w:hAnsi="Times New Roman"/>
          <w:b w:val="false"/>
          <w:i w:val="false"/>
          <w:color w:val="000000"/>
          <w:sz w:val="22"/>
        </w:rPr>
        <w:t xml:space="preserve"> </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the department shall issue the first driver’s license with a restriction stating: “Medical report to be furnished at the end of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this medical report shows that the person has been free of an episode of loss of consciousness or voluntary control since the previous medical report and the report recommends licensing, the department shall issue a duplicate driver’s license with a restriction stating: “Medical report required at renewal.” At each renewal accompanied by a favorable medical report, the department shall issue a two-year driver’s license with the same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remove the medical report requirement and issue a full-term driver’s license if recommended by a qualified medical professional and if the latest medical information on file with the department indicates that either of the following are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has not had an episode of loss of consciousness or voluntary control and has not been prescribed medications to control such episodes during the 24-month period immediately preceding application for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has not had an episode of loss of consciousness or voluntary control during the ten-year period immediately preceding application for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Financial responsibility. </w:t>
      </w:r>
      <w:r>
        <w:rPr>
          <w:rFonts w:ascii="Times New Roman" w:hAnsi="Times New Roman"/>
          <w:b w:val="false"/>
          <w:i w:val="false"/>
          <w:color w:val="000000"/>
          <w:sz w:val="22"/>
        </w:rPr>
        <w:t xml:space="preserve">When a person is required under Iowa Code chapter </w:t>
      </w:r>
      <w:hyperlink r:id="rId49">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xml:space="preserve"> to have future proof of financial responsibility on file, the license restriction will read: “SR required.” The license shall be valid only for the operation of motor vehicles covered by the class of license issued and by the proof of financial responsibility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Vision restriction. </w:t>
      </w:r>
      <w:r>
        <w:rPr>
          <w:rFonts w:ascii="Times New Roman" w:hAnsi="Times New Roman"/>
          <w:b w:val="false"/>
          <w:i w:val="false"/>
          <w:color w:val="000000"/>
          <w:sz w:val="22"/>
        </w:rPr>
        <w:t xml:space="preserve">Restrictions relating to vision are addressed in </w:t>
      </w:r>
      <w:hyperlink r:id="rId50">
        <w:r>
          <w:rPr>
            <w:rStyle w:val="Hyperlink"/>
            <w:rFonts w:ascii="Times New Roman" w:hAnsi="Times New Roman"/>
            <w:b w:val="false"/>
            <w:i w:val="false"/>
            <w:color w:val="000000"/>
            <w:sz w:val="22"/>
          </w:rPr>
          <w:t>761—Chapter 604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1">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xml:space="preserve"> and sections </w:t>
      </w:r>
      <w:hyperlink r:id="rId52">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w:t>
      </w:r>
      <w:hyperlink r:id="rId53">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321.180A</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w:t>
      </w:r>
      <w:hyperlink r:id="rId58">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321J.4</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321J.20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9991B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0661C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4000C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4586C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6969C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761—605.9</w:t>
      </w:r>
      <w:r>
        <w:rPr>
          <w:rFonts w:ascii="Times New Roman" w:hAnsi="Times New Roman"/>
          <w:b/>
          <w:i w:val="false"/>
          <w:color w:val="000000"/>
          <w:sz w:val="22"/>
        </w:rPr>
        <w:t xml:space="preserve">(321) </w:t>
      </w:r>
      <w:r>
        <w:rPr>
          <w:rFonts w:ascii="Times New Roman" w:hAnsi="Times New Roman"/>
          <w:b/>
          <w:i w:val="false"/>
          <w:color w:val="000000"/>
          <w:sz w:val="22"/>
        </w:rPr>
        <w:t xml:space="preserve">License term for temporary foreign national. </w:t>
      </w:r>
      <w:r>
        <w:rPr>
          <w:rFonts w:ascii="Times New Roman" w:hAnsi="Times New Roman"/>
          <w:b w:val="false"/>
          <w:i w:val="false"/>
          <w:color w:val="000000"/>
          <w:sz w:val="22"/>
        </w:rPr>
        <w:t>A driver’s license issued to a person who is a foreign national with temporary lawful status shall be issued only for the length of time the person is authorized to be present as verified by the department, not to exceed two years. However, if the person’s lawful status as verified by the department has no expiration date, the driver’s license shall be issued for a period of no longer than one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5">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xml:space="preserve">, the </w:t>
      </w:r>
      <w:r>
        <w:rPr>
          <w:rFonts w:ascii="Times New Roman" w:hAnsi="Times New Roman"/>
          <w:b w:val="false"/>
          <w:i w:val="false"/>
          <w:color w:val="000000"/>
          <w:sz w:val="22"/>
        </w:rPr>
        <w:t>REAL ID Act of 2005 (49 U.S.C. Section 30301 note)</w:t>
      </w:r>
      <w:r>
        <w:rPr>
          <w:rFonts w:ascii="Times New Roman" w:hAnsi="Times New Roman"/>
          <w:b w:val="false"/>
          <w:i w:val="false"/>
          <w:color w:val="000000"/>
          <w:sz w:val="22"/>
        </w:rPr>
        <w:t xml:space="preserve">, and </w:t>
      </w:r>
      <w:r>
        <w:rPr>
          <w:rFonts w:ascii="Times New Roman" w:hAnsi="Times New Roman"/>
          <w:b w:val="false"/>
          <w:i w:val="false"/>
          <w:color w:val="000000"/>
          <w:sz w:val="22"/>
        </w:rPr>
        <w:t>6 CFR Part 37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0347C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4586C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761—605.10</w:t>
      </w:r>
      <w:r>
        <w:rPr>
          <w:rFonts w:ascii="Times New Roman" w:hAnsi="Times New Roman"/>
          <w:b/>
          <w:i w:val="false"/>
          <w:color w:val="000000"/>
          <w:sz w:val="22"/>
        </w:rPr>
        <w:t xml:space="preserve">(321) </w:t>
      </w:r>
      <w:r>
        <w:rPr>
          <w:rFonts w:ascii="Times New Roman" w:hAnsi="Times New Roman"/>
          <w:b/>
          <w:i w:val="false"/>
          <w:color w:val="000000"/>
          <w:sz w:val="22"/>
        </w:rPr>
        <w:t xml:space="preserve">Fees for driver’s licenses. </w:t>
      </w:r>
      <w:r>
        <w:rPr>
          <w:rFonts w:ascii="Times New Roman" w:hAnsi="Times New Roman"/>
          <w:b w:val="false"/>
          <w:i w:val="false"/>
          <w:color w:val="000000"/>
          <w:sz w:val="22"/>
        </w:rPr>
        <w:t xml:space="preserve">Fees for driver’s licenses are specified in Iowa Code section </w:t>
      </w:r>
      <w:hyperlink r:id="rId66">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A license fee may be paid by cash, check, credit card, debit card or money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605.10(1)</w:t>
      </w:r>
      <w:r>
        <w:rPr>
          <w:rFonts w:ascii="Times New Roman" w:hAnsi="Times New Roman"/>
          <w:b w:val="false"/>
          <w:i w:val="false"/>
          <w:color w:val="000000"/>
          <w:sz w:val="22"/>
        </w:rPr>
        <w:t> </w:t>
      </w:r>
      <w:r>
        <w:rPr>
          <w:rFonts w:ascii="Times New Roman" w:hAnsi="Times New Roman"/>
          <w:b w:val="false"/>
          <w:i w:val="false"/>
          <w:color w:val="000000"/>
          <w:sz w:val="22"/>
        </w:rPr>
        <w:t>If the payment is by check, the check shall be for the exact amount of the fee and shall be payable to: Treasurer, State of Iowa. An exception may be made when a traveler’s check is presented.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605.10(2)</w:t>
      </w:r>
      <w:r>
        <w:rPr>
          <w:rFonts w:ascii="Times New Roman" w:hAnsi="Times New Roman"/>
          <w:b w:val="false"/>
          <w:i w:val="false"/>
          <w:color w:val="000000"/>
          <w:sz w:val="22"/>
        </w:rPr>
        <w:t> </w:t>
      </w:r>
      <w:r>
        <w:rPr>
          <w:rFonts w:ascii="Times New Roman" w:hAnsi="Times New Roman"/>
          <w:b w:val="false"/>
          <w:i w:val="false"/>
          <w:color w:val="000000"/>
          <w:sz w:val="22"/>
        </w:rPr>
        <w:t>One payment method may be used to pay fees for several persons, such as members of a family or employees of a business firm. One payment method may pay all fees involved, such as the license fee and the reinstatement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605.10(3)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is on federal active duty or state active duty, a veteran with a permanent service-connected disability rating of 100 percent, or a veteran who was issued an honorable discharge or general discharge under honorable conditions is eligible for a waiver of the fees for a driver’s license as provided in Iowa Code section </w:t>
      </w:r>
      <w:hyperlink r:id="rId67">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2022 Iowa Acts, Senate File 2383</w:t>
      </w:r>
      <w:r>
        <w:rPr>
          <w:rFonts w:ascii="Times New Roman" w:hAnsi="Times New Roman"/>
          <w:b w:val="false"/>
          <w:i w:val="false"/>
          <w:color w:val="000000"/>
          <w:sz w:val="22"/>
        </w:rPr>
        <w:t>, section 25. An eligible applicant may qualify for more than one fee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must provide proof of eligibility for the fee waiver to the department in the following ways as applicable to the applicant’s active duty, veteran or disability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active duty service member must present an unexpired Armed Forces of the United States Geneva Conventions identification card, also known as a common access card (CAC), issued by the U.S. Department of Defense under 32 CFR Part 161. A federal or state military member who is a reservist may instead present an unexpired Uniformed Services identification card (USID) issued by the U.S. Department of Defense under 32 CFR Part 161 indicating a reserve affiliation.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with a permanent service-connected disability rating of 100 percent must present proof that the applicant is the subject of a certification of disability of 100 percent from the U.S.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discharged from military service must present certification of release or discharge from active duty, DD form 214, indicating that the applicant received an honorable discharge or a general discharge under honorable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qualifies for the fee waiver under subparagraph </w:t>
      </w:r>
      <w:hyperlink r:id="rId68">
        <w:r>
          <w:rPr>
            <w:rStyle w:val="Hyperlink"/>
            <w:rFonts w:ascii="Times New Roman" w:hAnsi="Times New Roman"/>
            <w:b w:val="false"/>
            <w:i w:val="false"/>
            <w:color w:val="000000"/>
            <w:sz w:val="22"/>
          </w:rPr>
          <w:t>605.10(3)</w:t>
        </w:r>
      </w:hyperlink>
      <w:r>
        <w:rPr>
          <w:rFonts w:ascii="Times New Roman" w:hAnsi="Times New Roman"/>
          <w:b w:val="false"/>
          <w:i/>
          <w:color w:val="000000"/>
          <w:sz w:val="22"/>
        </w:rPr>
        <w:t>“a”</w:t>
      </w:r>
      <w:r>
        <w:rPr>
          <w:rFonts w:ascii="Times New Roman" w:hAnsi="Times New Roman"/>
          <w:b w:val="false"/>
          <w:i w:val="false"/>
          <w:color w:val="000000"/>
          <w:sz w:val="22"/>
        </w:rPr>
        <w:t xml:space="preserve">(2) or </w:t>
      </w:r>
      <w:hyperlink r:id="rId69">
        <w:r>
          <w:rPr>
            <w:rStyle w:val="Hyperlink"/>
            <w:rFonts w:ascii="Times New Roman" w:hAnsi="Times New Roman"/>
            <w:b w:val="false"/>
            <w:i w:val="false"/>
            <w:color w:val="000000"/>
            <w:sz w:val="22"/>
          </w:rPr>
          <w:t>604.10(3)</w:t>
        </w:r>
      </w:hyperlink>
      <w:r>
        <w:rPr>
          <w:rFonts w:ascii="Times New Roman" w:hAnsi="Times New Roman"/>
          <w:b w:val="false"/>
          <w:i/>
          <w:color w:val="000000"/>
          <w:sz w:val="22"/>
        </w:rPr>
        <w:t>“a”</w:t>
      </w:r>
      <w:r>
        <w:rPr>
          <w:rFonts w:ascii="Times New Roman" w:hAnsi="Times New Roman"/>
          <w:b w:val="false"/>
          <w:i w:val="false"/>
          <w:color w:val="000000"/>
          <w:sz w:val="22"/>
        </w:rPr>
        <w:t>(3) or both subparagraphs is required to submit proof of eligibility only once unless the proof is invalid or not accepted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qualifies for the fee waiver under subparagraph </w:t>
      </w:r>
      <w:hyperlink r:id="rId70">
        <w:r>
          <w:rPr>
            <w:rStyle w:val="Hyperlink"/>
            <w:rFonts w:ascii="Times New Roman" w:hAnsi="Times New Roman"/>
            <w:b w:val="false"/>
            <w:i w:val="false"/>
            <w:color w:val="000000"/>
            <w:sz w:val="22"/>
          </w:rPr>
          <w:t>605.10(3)</w:t>
        </w:r>
      </w:hyperlink>
      <w:r>
        <w:rPr>
          <w:rFonts w:ascii="Times New Roman" w:hAnsi="Times New Roman"/>
          <w:b w:val="false"/>
          <w:i/>
          <w:color w:val="000000"/>
          <w:sz w:val="22"/>
        </w:rPr>
        <w:t>“a”</w:t>
      </w:r>
      <w:r>
        <w:rPr>
          <w:rFonts w:ascii="Times New Roman" w:hAnsi="Times New Roman"/>
          <w:b w:val="false"/>
          <w:i w:val="false"/>
          <w:color w:val="000000"/>
          <w:sz w:val="22"/>
        </w:rPr>
        <w:t xml:space="preserve">(2) or </w:t>
      </w:r>
      <w:hyperlink r:id="rId71">
        <w:r>
          <w:rPr>
            <w:rStyle w:val="Hyperlink"/>
            <w:rFonts w:ascii="Times New Roman" w:hAnsi="Times New Roman"/>
            <w:b w:val="false"/>
            <w:i w:val="false"/>
            <w:color w:val="000000"/>
            <w:sz w:val="22"/>
          </w:rPr>
          <w:t>604.10(3)</w:t>
        </w:r>
      </w:hyperlink>
      <w:r>
        <w:rPr>
          <w:rFonts w:ascii="Times New Roman" w:hAnsi="Times New Roman"/>
          <w:b w:val="false"/>
          <w:i/>
          <w:color w:val="000000"/>
          <w:sz w:val="22"/>
        </w:rPr>
        <w:t>“a”</w:t>
      </w:r>
      <w:r>
        <w:rPr>
          <w:rFonts w:ascii="Times New Roman" w:hAnsi="Times New Roman"/>
          <w:b w:val="false"/>
          <w:i w:val="false"/>
          <w:color w:val="000000"/>
          <w:sz w:val="22"/>
        </w:rPr>
        <w:t xml:space="preserve">(3) or both subparagraphs, who has presented proof of eligibility to the department during a previous license issuance transaction and who is otherwise eligible under subrule </w:t>
      </w:r>
      <w:hyperlink r:id="rId72">
        <w:r>
          <w:rPr>
            <w:rStyle w:val="Hyperlink"/>
            <w:rFonts w:ascii="Times New Roman" w:hAnsi="Times New Roman"/>
            <w:b w:val="false"/>
            <w:i w:val="false"/>
            <w:color w:val="000000"/>
            <w:sz w:val="22"/>
          </w:rPr>
          <w:t>605.25(7)</w:t>
        </w:r>
      </w:hyperlink>
      <w:r>
        <w:rPr>
          <w:rFonts w:ascii="Times New Roman" w:hAnsi="Times New Roman"/>
          <w:b w:val="false"/>
          <w:i w:val="false"/>
          <w:color w:val="000000"/>
          <w:sz w:val="22"/>
        </w:rPr>
        <w:t xml:space="preserve"> or </w:t>
      </w:r>
      <w:hyperlink r:id="rId73">
        <w:r>
          <w:rPr>
            <w:rStyle w:val="Hyperlink"/>
            <w:rFonts w:ascii="Times New Roman" w:hAnsi="Times New Roman"/>
            <w:b w:val="false"/>
            <w:i w:val="false"/>
            <w:color w:val="000000"/>
            <w:sz w:val="22"/>
          </w:rPr>
          <w:t>605.25(8)</w:t>
        </w:r>
      </w:hyperlink>
      <w:r>
        <w:rPr>
          <w:rFonts w:ascii="Times New Roman" w:hAnsi="Times New Roman"/>
          <w:b w:val="false"/>
          <w:i w:val="false"/>
          <w:color w:val="000000"/>
          <w:sz w:val="22"/>
        </w:rPr>
        <w:t xml:space="preserve"> to renew the applicant’s driver’s license electronically, will be waived from the applicable fees during the electronic renewal. An applicant who qualifies under subparagraph </w:t>
      </w:r>
      <w:hyperlink r:id="rId74">
        <w:r>
          <w:rPr>
            <w:rStyle w:val="Hyperlink"/>
            <w:rFonts w:ascii="Times New Roman" w:hAnsi="Times New Roman"/>
            <w:b w:val="false"/>
            <w:i w:val="false"/>
            <w:color w:val="000000"/>
            <w:sz w:val="22"/>
          </w:rPr>
          <w:t>605.10(3)</w:t>
        </w:r>
      </w:hyperlink>
      <w:r>
        <w:rPr>
          <w:rFonts w:ascii="Times New Roman" w:hAnsi="Times New Roman"/>
          <w:b w:val="false"/>
          <w:i/>
          <w:color w:val="000000"/>
          <w:sz w:val="22"/>
        </w:rPr>
        <w:t>“a”</w:t>
      </w:r>
      <w:r>
        <w:rPr>
          <w:rFonts w:ascii="Times New Roman" w:hAnsi="Times New Roman"/>
          <w:b w:val="false"/>
          <w:i w:val="false"/>
          <w:color w:val="000000"/>
          <w:sz w:val="22"/>
        </w:rPr>
        <w:t xml:space="preserve">(1) will not receive the applicable fee waivers if the applicant chooses to renew the driver’s license electronically under subrule </w:t>
      </w:r>
      <w:hyperlink r:id="rId75">
        <w:r>
          <w:rPr>
            <w:rStyle w:val="Hyperlink"/>
            <w:rFonts w:ascii="Times New Roman" w:hAnsi="Times New Roman"/>
            <w:b w:val="false"/>
            <w:i w:val="false"/>
            <w:color w:val="000000"/>
            <w:sz w:val="22"/>
          </w:rPr>
          <w:t>605.25(7)</w:t>
        </w:r>
      </w:hyperlink>
      <w:r>
        <w:rPr>
          <w:rFonts w:ascii="Times New Roman" w:hAnsi="Times New Roman"/>
          <w:b w:val="false"/>
          <w:i w:val="false"/>
          <w:color w:val="000000"/>
          <w:sz w:val="22"/>
        </w:rPr>
        <w:t xml:space="preserve"> or </w:t>
      </w:r>
      <w:hyperlink r:id="rId76">
        <w:r>
          <w:rPr>
            <w:rStyle w:val="Hyperlink"/>
            <w:rFonts w:ascii="Times New Roman" w:hAnsi="Times New Roman"/>
            <w:b w:val="false"/>
            <w:i w:val="false"/>
            <w:color w:val="000000"/>
            <w:sz w:val="22"/>
          </w:rPr>
          <w:t>605.25(8)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7">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2022 Iowa Acts, Senate File 2383</w:t>
      </w:r>
      <w:r>
        <w:rPr>
          <w:rFonts w:ascii="Times New Roman" w:hAnsi="Times New Roman"/>
          <w:b w:val="false"/>
          <w:i w:val="false"/>
          <w:color w:val="000000"/>
          <w:sz w:val="22"/>
        </w:rPr>
        <w:t>, section 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9991B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4586C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5302C</w:t>
      </w:r>
      <w:r>
        <w:rPr>
          <w:rFonts w:ascii="Times New Roman" w:hAnsi="Times New Roman"/>
          <w:b w:val="false"/>
          <w:i w:val="false"/>
          <w:color w:val="000000"/>
          <w:sz w:val="16"/>
        </w:rPr>
        <w:t>, IAB 12/2/20, effective 1/6/21</w:t>
      </w:r>
      <w:r>
        <w:rPr>
          <w:rFonts w:ascii="Times New Roman" w:hAnsi="Times New Roman"/>
          <w:b w:val="false"/>
          <w:i w:val="false"/>
          <w:color w:val="000000"/>
          <w:sz w:val="16"/>
        </w:rPr>
        <w:t xml:space="preserve">; </w:t>
      </w:r>
      <w:r>
        <w:rPr>
          <w:rFonts w:ascii="Times New Roman" w:hAnsi="Times New Roman"/>
          <w:b/>
          <w:i w:val="false"/>
          <w:color w:val="000000"/>
          <w:sz w:val="16"/>
        </w:rPr>
        <w:t>ARC 6617C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761—605.11</w:t>
      </w:r>
      <w:r>
        <w:rPr>
          <w:rFonts w:ascii="Times New Roman" w:hAnsi="Times New Roman"/>
          <w:b/>
          <w:i w:val="false"/>
          <w:color w:val="000000"/>
          <w:sz w:val="22"/>
        </w:rPr>
        <w:t xml:space="preserve">(321) </w:t>
      </w:r>
      <w:r>
        <w:rPr>
          <w:rFonts w:ascii="Times New Roman" w:hAnsi="Times New Roman"/>
          <w:b/>
          <w:i w:val="false"/>
          <w:color w:val="000000"/>
          <w:sz w:val="22"/>
        </w:rPr>
        <w:t xml:space="preserve">Duplicate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605.11(1)</w:t>
      </w:r>
      <w:r>
        <w:rPr>
          <w:rFonts w:ascii="Times New Roman" w:hAnsi="Times New Roman"/>
          <w:b w:val="false"/>
          <w:i w:val="false"/>
          <w:color w:val="000000"/>
          <w:sz w:val="22"/>
        </w:rPr>
        <w:t> </w:t>
      </w:r>
      <w:r>
        <w:rPr>
          <w:rFonts w:ascii="Times New Roman" w:hAnsi="Times New Roman"/>
          <w:b w:val="false"/>
          <w:i/>
          <w:color w:val="000000"/>
          <w:sz w:val="22"/>
        </w:rPr>
        <w:t xml:space="preserve">Lost, stolen or destroyed license. </w:t>
      </w:r>
      <w:r>
        <w:rPr>
          <w:rFonts w:ascii="Times New Roman" w:hAnsi="Times New Roman"/>
          <w:b w:val="false"/>
          <w:i w:val="false"/>
          <w:color w:val="000000"/>
          <w:sz w:val="22"/>
        </w:rPr>
        <w:t xml:space="preserve">To replace a valid license that is lost, stolen or destroyed, the licensee shall provide the licensee’s full legal name, date of birth, and social security number, all of which must be verified by the department, and pay the replacement fee. A licensee subject to </w:t>
      </w:r>
      <w:hyperlink r:id="rId78">
        <w:r>
          <w:rPr>
            <w:rStyle w:val="Hyperlink"/>
            <w:rFonts w:ascii="Times New Roman" w:hAnsi="Times New Roman"/>
            <w:b w:val="false"/>
            <w:i w:val="false"/>
            <w:color w:val="000000"/>
            <w:sz w:val="22"/>
          </w:rPr>
          <w:t>761—paragraph 601.5(2)</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provide the applicant’s U.S. Customs and Immigration Services number, which must be verified by the department. The department may investigate or require additional information as may be reasonably necessary to determine that the licensee’s identity matches the identity of record and shall not issue the replacement license if the licensee’s identity is questionable, cannot be determined, or otherwise does not match the identity of record. If the licensee’s current residential address, name, date of birth, or sex designation has changed since the previous license was issued, the licensee shall comply with </w:t>
      </w:r>
      <w:hyperlink r:id="rId79">
        <w:r>
          <w:rPr>
            <w:rStyle w:val="Hyperlink"/>
            <w:rFonts w:ascii="Times New Roman" w:hAnsi="Times New Roman"/>
            <w:b w:val="false"/>
            <w:i w:val="false"/>
            <w:color w:val="000000"/>
            <w:sz w:val="22"/>
          </w:rPr>
          <w:t>subrule 605.11(2)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605.11(2)</w:t>
      </w:r>
      <w:r>
        <w:rPr>
          <w:rFonts w:ascii="Times New Roman" w:hAnsi="Times New Roman"/>
          <w:b w:val="false"/>
          <w:i w:val="false"/>
          <w:color w:val="000000"/>
          <w:sz w:val="22"/>
        </w:rPr>
        <w:t> </w:t>
      </w:r>
      <w:r>
        <w:rPr>
          <w:rFonts w:ascii="Times New Roman" w:hAnsi="Times New Roman"/>
          <w:b w:val="false"/>
          <w:i/>
          <w:color w:val="000000"/>
          <w:sz w:val="22"/>
        </w:rPr>
        <w:t xml:space="preserve">Voluntary replacement. </w:t>
      </w:r>
      <w:r>
        <w:rPr>
          <w:rFonts w:ascii="Times New Roman" w:hAnsi="Times New Roman"/>
          <w:b w:val="false"/>
          <w:i w:val="false"/>
          <w:color w:val="000000"/>
          <w:sz w:val="22"/>
        </w:rPr>
        <w:t>The department shall issue a duplicate of a valid license to an eligible licensee if the license is surrendered to the department and the replacement fee is paid. Voluntary replacement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Replacement of a damaged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Replacement to change the current residential address on a license. The licensee shall notify the department to establish the current residential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Replacement to change the name on a license. The licensee shall comply with the requirements of </w:t>
      </w:r>
      <w:hyperlink r:id="rId80">
        <w:r>
          <w:rPr>
            <w:rStyle w:val="Hyperlink"/>
            <w:rFonts w:ascii="Times New Roman" w:hAnsi="Times New Roman"/>
            <w:b w:val="false"/>
            <w:i w:val="false"/>
            <w:color w:val="000000"/>
            <w:sz w:val="22"/>
          </w:rPr>
          <w:t>761—subrule 601.5(5)</w:t>
        </w:r>
      </w:hyperlink>
      <w:r>
        <w:rPr>
          <w:rFonts w:ascii="Times New Roman" w:hAnsi="Times New Roman"/>
          <w:b w:val="false"/>
          <w:i w:val="false"/>
          <w:color w:val="000000"/>
          <w:sz w:val="22"/>
        </w:rPr>
        <w:t xml:space="preserve"> to establish a name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Replacement to change the date of birth on a license. The licensee shall comply with the requirements of </w:t>
      </w:r>
      <w:hyperlink r:id="rId81">
        <w:r>
          <w:rPr>
            <w:rStyle w:val="Hyperlink"/>
            <w:rFonts w:ascii="Times New Roman" w:hAnsi="Times New Roman"/>
            <w:b w:val="false"/>
            <w:i w:val="false"/>
            <w:color w:val="000000"/>
            <w:sz w:val="22"/>
          </w:rPr>
          <w:t>761—subrule 601.5(6)</w:t>
        </w:r>
      </w:hyperlink>
      <w:r>
        <w:rPr>
          <w:rFonts w:ascii="Times New Roman" w:hAnsi="Times New Roman"/>
          <w:b w:val="false"/>
          <w:i w:val="false"/>
          <w:color w:val="000000"/>
          <w:sz w:val="22"/>
        </w:rPr>
        <w:t xml:space="preserve"> to establish a change of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Replacement to change the sex designation on a license. The licensee shall comply with the requirements of </w:t>
      </w:r>
      <w:hyperlink r:id="rId82">
        <w:r>
          <w:rPr>
            <w:rStyle w:val="Hyperlink"/>
            <w:rFonts w:ascii="Times New Roman" w:hAnsi="Times New Roman"/>
            <w:b w:val="false"/>
            <w:i w:val="false"/>
            <w:color w:val="000000"/>
            <w:sz w:val="22"/>
          </w:rPr>
          <w:t>761—subrule 601.5(7)</w:t>
        </w:r>
      </w:hyperlink>
      <w:r>
        <w:rPr>
          <w:rFonts w:ascii="Times New Roman" w:hAnsi="Times New Roman"/>
          <w:b w:val="false"/>
          <w:i w:val="false"/>
          <w:color w:val="000000"/>
          <w:sz w:val="22"/>
        </w:rPr>
        <w:t xml:space="preserve"> to establish a change of sex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Issuance of a license without the words “under 21” to a licensee who is 21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Issuance of a license without the words “under 18” to a licensee who is 18 years of age or older. (If the licensee is under 21 years of age, the words “under 21” will replace the words “under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Issuance of a noncommercial driver’s license to an eligible person who has been disqualified from operating a commercial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Replacement of a valid license before its expiration date to obtain a license that may be accepted for federal identification purposes under 6 CFR Part 37 (a REAL ID license). The licensee shall comply with the requirements of </w:t>
      </w:r>
      <w:hyperlink r:id="rId83">
        <w:r>
          <w:rPr>
            <w:rStyle w:val="Hyperlink"/>
            <w:rFonts w:ascii="Times New Roman" w:hAnsi="Times New Roman"/>
            <w:b w:val="false"/>
            <w:i w:val="false"/>
            <w:color w:val="000000"/>
            <w:sz w:val="22"/>
          </w:rPr>
          <w:t>761—601.5</w:t>
        </w:r>
      </w:hyperlink>
      <w:r>
        <w:rPr>
          <w:rFonts w:ascii="Times New Roman" w:hAnsi="Times New Roman"/>
          <w:b w:val="false"/>
          <w:i w:val="false"/>
          <w:color w:val="000000"/>
          <w:sz w:val="22"/>
        </w:rPr>
        <w:t>(321) to obtain a REAL ID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Replacement to add a veteran designation to the license. To be eligible for a veteran designation, the licensee must comply with the requirements of paragraph </w:t>
      </w:r>
      <w:hyperlink r:id="rId84">
        <w:r>
          <w:rPr>
            <w:rStyle w:val="Hyperlink"/>
            <w:rFonts w:ascii="Times New Roman" w:hAnsi="Times New Roman"/>
            <w:b w:val="false"/>
            <w:i w:val="false"/>
            <w:color w:val="000000"/>
            <w:sz w:val="22"/>
          </w:rPr>
          <w:t>605.5(7)</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605.11(3)</w:t>
      </w:r>
      <w:r>
        <w:rPr>
          <w:rFonts w:ascii="Times New Roman" w:hAnsi="Times New Roman"/>
          <w:b w:val="false"/>
          <w:i w:val="false"/>
          <w:color w:val="000000"/>
          <w:sz w:val="22"/>
        </w:rPr>
        <w:t> </w:t>
      </w:r>
      <w:r>
        <w:rPr>
          <w:rFonts w:ascii="Times New Roman" w:hAnsi="Times New Roman"/>
          <w:b w:val="false"/>
          <w:i/>
          <w:color w:val="000000"/>
          <w:sz w:val="22"/>
        </w:rPr>
        <w:t xml:space="preserve">Replacement upon attaining the age of 21. </w:t>
      </w:r>
      <w:r>
        <w:rPr>
          <w:rFonts w:ascii="Times New Roman" w:hAnsi="Times New Roman"/>
          <w:b w:val="false"/>
          <w:i w:val="false"/>
          <w:color w:val="000000"/>
          <w:sz w:val="22"/>
        </w:rPr>
        <w:t xml:space="preserve">A licensee, upon attaining the age of 21, who is otherwise eligible for a driver’s license is eligible to electronically apply for a replacement driver’s license under this rule for the unexpired months of the license, regardless of whether the most recent issuance occurred electronically.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the requirements in subparagraphs </w:t>
      </w:r>
      <w:hyperlink r:id="rId85">
        <w:r>
          <w:rPr>
            <w:rStyle w:val="Hyperlink"/>
            <w:rFonts w:ascii="Times New Roman" w:hAnsi="Times New Roman"/>
            <w:b w:val="false"/>
            <w:i w:val="false"/>
            <w:color w:val="000000"/>
            <w:sz w:val="22"/>
          </w:rPr>
          <w:t>605.25(7)</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86">
        <w:r>
          <w:rPr>
            <w:rStyle w:val="Hyperlink"/>
            <w:rFonts w:ascii="Times New Roman" w:hAnsi="Times New Roman"/>
            <w:b w:val="false"/>
            <w:i w:val="false"/>
            <w:color w:val="000000"/>
            <w:sz w:val="22"/>
          </w:rPr>
          <w:t>605.25(7)</w:t>
        </w:r>
      </w:hyperlink>
      <w:r>
        <w:rPr>
          <w:rFonts w:ascii="Times New Roman" w:hAnsi="Times New Roman"/>
          <w:b w:val="false"/>
          <w:i/>
          <w:color w:val="000000"/>
          <w:sz w:val="22"/>
        </w:rPr>
        <w:t>“a”</w:t>
      </w:r>
      <w:r>
        <w:rPr>
          <w:rFonts w:ascii="Times New Roman" w:hAnsi="Times New Roman"/>
          <w:b w:val="false"/>
          <w:i w:val="false"/>
          <w:color w:val="000000"/>
          <w:sz w:val="22"/>
        </w:rPr>
        <w:t xml:space="preserve">(2), the licensee must meet the eligibility requirements listed in </w:t>
      </w:r>
      <w:hyperlink r:id="rId87">
        <w:r>
          <w:rPr>
            <w:rStyle w:val="Hyperlink"/>
            <w:rFonts w:ascii="Times New Roman" w:hAnsi="Times New Roman"/>
            <w:b w:val="false"/>
            <w:i w:val="false"/>
            <w:color w:val="000000"/>
            <w:sz w:val="22"/>
          </w:rPr>
          <w:t>paragraph 605.25(7)</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hyperlink r:id="rId88">
        <w:r>
          <w:rPr>
            <w:rStyle w:val="Hyperlink"/>
            <w:rFonts w:ascii="Times New Roman" w:hAnsi="Times New Roman"/>
            <w:b w:val="false"/>
            <w:i w:val="false"/>
            <w:color w:val="000000"/>
            <w:sz w:val="22"/>
          </w:rPr>
          <w:t>paragraph 605.25(8)</w:t>
        </w:r>
      </w:hyperlink>
      <w:r>
        <w:rPr>
          <w:rFonts w:ascii="Times New Roman" w:hAnsi="Times New Roman"/>
          <w:b w:val="false"/>
          <w:i/>
          <w:color w:val="000000"/>
          <w:sz w:val="22"/>
        </w:rPr>
        <w:t>“a”</w:t>
      </w:r>
      <w:r>
        <w:rPr>
          <w:rFonts w:ascii="Times New Roman" w:hAnsi="Times New Roman"/>
          <w:b w:val="false"/>
          <w:i w:val="false"/>
          <w:color w:val="000000"/>
          <w:sz w:val="22"/>
        </w:rPr>
        <w:t xml:space="preserve"> to replace the license electronically and must also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 must be at least 21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must currently hold a driver’s license marked “Under 21” as provided in Iowa Code section </w:t>
      </w:r>
      <w:hyperlink r:id="rId89">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 of this chapter to the contrary, the department may accept an electronic replacement application if the licensee seeks replacement of a special instruction permit or a license with a single “J” restriction accompanied by a “9”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605.11(4)</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 xml:space="preserve">The fee to replace a license is $10.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0">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321.195</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the REAL ID Act of 2005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30301 note), and 6 CFR Part 37.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7902B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0347C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1714C</w:t>
      </w:r>
      <w:r>
        <w:rPr>
          <w:rFonts w:ascii="Times New Roman" w:hAnsi="Times New Roman"/>
          <w:b w:val="false"/>
          <w:i w:val="false"/>
          <w:color w:val="000000"/>
          <w:sz w:val="16"/>
        </w:rPr>
        <w:t>, IAB 11/12/14, effective 12/17/14</w:t>
      </w:r>
      <w:r>
        <w:rPr>
          <w:rFonts w:ascii="Times New Roman" w:hAnsi="Times New Roman"/>
          <w:b w:val="false"/>
          <w:i w:val="false"/>
          <w:color w:val="000000"/>
          <w:sz w:val="16"/>
        </w:rPr>
        <w:t xml:space="preserve">; </w:t>
      </w:r>
      <w:r>
        <w:rPr>
          <w:rFonts w:ascii="Times New Roman" w:hAnsi="Times New Roman"/>
          <w:b/>
          <w:i w:val="false"/>
          <w:color w:val="000000"/>
          <w:sz w:val="16"/>
        </w:rPr>
        <w:t>ARC 2888C</w:t>
      </w:r>
      <w:r>
        <w:rPr>
          <w:rFonts w:ascii="Times New Roman" w:hAnsi="Times New Roman"/>
          <w:b w:val="false"/>
          <w:i w:val="false"/>
          <w:color w:val="000000"/>
          <w:sz w:val="16"/>
        </w:rPr>
        <w:t>, IAB 1/4/17, effective 2/8/17</w:t>
      </w:r>
      <w:r>
        <w:rPr>
          <w:rFonts w:ascii="Times New Roman" w:hAnsi="Times New Roman"/>
          <w:b w:val="false"/>
          <w:i w:val="false"/>
          <w:color w:val="000000"/>
          <w:sz w:val="16"/>
        </w:rPr>
        <w:t xml:space="preserve">; </w:t>
      </w:r>
      <w:r>
        <w:rPr>
          <w:rFonts w:ascii="Times New Roman" w:hAnsi="Times New Roman"/>
          <w:b/>
          <w:i w:val="false"/>
          <w:color w:val="000000"/>
          <w:sz w:val="16"/>
        </w:rPr>
        <w:t>ARC 3451C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4000C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4586C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4851C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6969C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761—605.12</w:t>
      </w:r>
      <w:r>
        <w:rPr>
          <w:rFonts w:ascii="Times New Roman" w:hAnsi="Times New Roman"/>
          <w:b/>
          <w:i w:val="false"/>
          <w:color w:val="000000"/>
          <w:sz w:val="22"/>
        </w:rPr>
        <w:t xml:space="preserve">(321) </w:t>
      </w:r>
      <w:r>
        <w:rPr>
          <w:rFonts w:ascii="Times New Roman" w:hAnsi="Times New Roman"/>
          <w:b/>
          <w:i w:val="false"/>
          <w:color w:val="000000"/>
          <w:sz w:val="22"/>
        </w:rPr>
        <w:t xml:space="preserve">Address changes.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605.12(1)</w:t>
      </w:r>
      <w:r>
        <w:rPr>
          <w:rFonts w:ascii="Times New Roman" w:hAnsi="Times New Roman"/>
          <w:b w:val="false"/>
          <w:i w:val="false"/>
          <w:color w:val="000000"/>
          <w:sz w:val="22"/>
        </w:rPr>
        <w:t> </w:t>
      </w:r>
      <w:r>
        <w:rPr>
          <w:rFonts w:ascii="Times New Roman" w:hAnsi="Times New Roman"/>
          <w:b w:val="false"/>
          <w:i w:val="false"/>
          <w:color w:val="000000"/>
          <w:sz w:val="22"/>
        </w:rPr>
        <w:t>A licensee shall notify the department of a change in the licensee’s mailing address within 30 days of the change. Notice shall be given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Submitting the address change to the Motor Vehicle Division, Iowa Department of Transportation, P.O. Box 9204, Des Moines, Iowa 50306-9204, using Form 430012 or a written and signed statement listing the licensee’s full name, date of birth, driver’s license number and new mailing address;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Completing the address change on the department’s website at </w:t>
      </w:r>
      <w:hyperlink r:id="rId94">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Appearing in person to change the mailing address at any driver’s license service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605.12(2)</w:t>
      </w:r>
      <w:r>
        <w:rPr>
          <w:rFonts w:ascii="Times New Roman" w:hAnsi="Times New Roman"/>
          <w:b w:val="false"/>
          <w:i w:val="false"/>
          <w:color w:val="000000"/>
          <w:sz w:val="22"/>
        </w:rPr>
        <w:t> </w:t>
      </w:r>
      <w:r>
        <w:rPr>
          <w:rFonts w:ascii="Times New Roman" w:hAnsi="Times New Roman"/>
          <w:b w:val="false"/>
          <w:i w:val="false"/>
          <w:color w:val="000000"/>
          <w:sz w:val="22"/>
        </w:rPr>
        <w:t>Parents or legal guardians may provide written notice of a mailing address change on behalf of their minor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605.12(3)</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U.S. Postal Service address information to update its address records.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5">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and </w:t>
      </w:r>
      <w:hyperlink r:id="rId96">
        <w:r>
          <w:rPr>
            <w:rStyle w:val="Hyperlink"/>
            <w:rFonts w:ascii="Times New Roman" w:hAnsi="Times New Roman"/>
            <w:b w:val="false"/>
            <w:i w:val="false"/>
            <w:color w:val="000000"/>
            <w:sz w:val="22"/>
          </w:rPr>
          <w:t>321.184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4000C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4851C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6969C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761—605.13</w:t>
      </w:r>
      <w:r>
        <w:rPr>
          <w:rFonts w:ascii="Times New Roman" w:hAnsi="Times New Roman"/>
          <w:b w:val="false"/>
          <w:i w:val="false"/>
          <w:color w:val="000000"/>
          <w:sz w:val="22"/>
        </w:rPr>
        <w:t xml:space="preserve"> and </w:t>
      </w:r>
      <w:r>
        <w:rPr>
          <w:rFonts w:ascii="Times New Roman" w:hAnsi="Times New Roman"/>
          <w:b/>
          <w:i w:val="false"/>
          <w:color w:val="000000"/>
          <w:sz w:val="22"/>
        </w:rPr>
        <w:t>605.14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761—605.15</w:t>
      </w:r>
      <w:r>
        <w:rPr>
          <w:rFonts w:ascii="Times New Roman" w:hAnsi="Times New Roman"/>
          <w:b/>
          <w:i w:val="false"/>
          <w:color w:val="000000"/>
          <w:sz w:val="22"/>
        </w:rPr>
        <w:t xml:space="preserve">(321) </w:t>
      </w:r>
      <w:r>
        <w:rPr>
          <w:rFonts w:ascii="Times New Roman" w:hAnsi="Times New Roman"/>
          <w:b/>
          <w:i w:val="false"/>
          <w:color w:val="000000"/>
          <w:sz w:val="22"/>
        </w:rPr>
        <w:t xml:space="preserve">License extension.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605.15(1)</w:t>
      </w:r>
      <w:r>
        <w:rPr>
          <w:rFonts w:ascii="Times New Roman" w:hAnsi="Times New Roman"/>
          <w:b w:val="false"/>
          <w:i w:val="false"/>
          <w:color w:val="000000"/>
          <w:sz w:val="22"/>
        </w:rPr>
        <w:t> </w:t>
      </w:r>
      <w:r>
        <w:rPr>
          <w:rFonts w:ascii="Times New Roman" w:hAnsi="Times New Roman"/>
          <w:b w:val="false"/>
          <w:i/>
          <w:color w:val="000000"/>
          <w:sz w:val="22"/>
        </w:rPr>
        <w:t xml:space="preserve">Six-month extension. </w:t>
      </w:r>
      <w:r>
        <w:rPr>
          <w:rFonts w:ascii="Times New Roman" w:hAnsi="Times New Roman"/>
          <w:b w:val="false"/>
          <w:i w:val="false"/>
          <w:color w:val="000000"/>
          <w:sz w:val="22"/>
        </w:rPr>
        <w:t>An Iowa resident may apply for a noncommercial six-month extension of a license if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valid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eligible for further licensing,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temporarily absent from Iowa or is temporarily incapacitated at the time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605.15(2)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The licensee shall apply for an extension by submitting Form 430027 to the department. The form may be obtained from and submitted to a driver’s license service center. The licensee may also apply by letter to the address in paragraph 605.12(1)</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six-month extension shall be added to the expiration date on the license. When the licensee appears to renew the license, the expiration date of the renewed license will be computed from the expiration date of the original license, notwithstanding the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allow only two six-month extensions.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7">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4000C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5495C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761—605.16</w:t>
      </w:r>
      <w:r>
        <w:rPr>
          <w:rFonts w:ascii="Times New Roman" w:hAnsi="Times New Roman"/>
          <w:b/>
          <w:i w:val="false"/>
          <w:color w:val="000000"/>
          <w:sz w:val="22"/>
        </w:rPr>
        <w:t xml:space="preserve">(321) </w:t>
      </w:r>
      <w:r>
        <w:rPr>
          <w:rFonts w:ascii="Times New Roman" w:hAnsi="Times New Roman"/>
          <w:b/>
          <w:i w:val="false"/>
          <w:color w:val="000000"/>
          <w:sz w:val="22"/>
        </w:rPr>
        <w:t xml:space="preserve">Military extension.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605.16(1)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 person who qualifies for a military extension of a valid license under Iowa Code section </w:t>
      </w:r>
      <w:hyperlink r:id="rId98">
        <w:r>
          <w:rPr>
            <w:rStyle w:val="Hyperlink"/>
            <w:rFonts w:ascii="Times New Roman" w:hAnsi="Times New Roman"/>
            <w:b w:val="false"/>
            <w:i w:val="false"/>
            <w:color w:val="000000"/>
            <w:sz w:val="22"/>
          </w:rPr>
          <w:t>321.198</w:t>
        </w:r>
      </w:hyperlink>
      <w:r>
        <w:rPr>
          <w:rFonts w:ascii="Times New Roman" w:hAnsi="Times New Roman"/>
          <w:b w:val="false"/>
          <w:i w:val="false"/>
          <w:color w:val="000000"/>
          <w:sz w:val="22"/>
        </w:rPr>
        <w:t xml:space="preserve"> and who wishes to have a record of the person’s military service extension recorded in the department’s computerized issuance system shall apply to the department in person by presentation of the person’s unexpired Armed Forces of the United States Geneva Conventions identification card, also known as a common access card (CAC), or by submitting Form 430081 to the department at the address in paragraph </w:t>
      </w:r>
      <w:r>
        <w:rPr>
          <w:rFonts w:ascii="Times New Roman" w:hAnsi="Times New Roman"/>
          <w:b w:val="false"/>
          <w:i w:val="false"/>
          <w:color w:val="000000"/>
          <w:sz w:val="22"/>
        </w:rPr>
        <w:t>605.12(1)</w:t>
      </w:r>
      <w:r>
        <w:rPr>
          <w:rFonts w:ascii="Times New Roman" w:hAnsi="Times New Roman"/>
          <w:b w:val="false"/>
          <w:i/>
          <w:color w:val="000000"/>
          <w:sz w:val="22"/>
        </w:rPr>
        <w:t>“a.”</w:t>
      </w:r>
      <w:r>
        <w:rPr>
          <w:rFonts w:ascii="Times New Roman" w:hAnsi="Times New Roman"/>
          <w:b w:val="false"/>
          <w:i w:val="false"/>
          <w:color w:val="000000"/>
          <w:sz w:val="22"/>
        </w:rPr>
        <w:t xml:space="preserve"> The form shall be signed by the person’s commanding officer to verify the military service and be accompanied by a copy of the person’s CAC or current active duty orders. Upon approval, the department shall update the department’s electronic records with the person’s military exception status and issue the person a letter explaining the provisions of Iowa Code section </w:t>
      </w:r>
      <w:hyperlink r:id="rId99">
        <w:r>
          <w:rPr>
            <w:rStyle w:val="Hyperlink"/>
            <w:rFonts w:ascii="Times New Roman" w:hAnsi="Times New Roman"/>
            <w:b w:val="false"/>
            <w:i w:val="false"/>
            <w:color w:val="000000"/>
            <w:sz w:val="22"/>
          </w:rPr>
          <w:t>321.198</w:t>
        </w:r>
      </w:hyperlink>
      <w:r>
        <w:rPr>
          <w:rFonts w:ascii="Times New Roman" w:hAnsi="Times New Roman"/>
          <w:b w:val="false"/>
          <w:i w:val="false"/>
          <w:color w:val="000000"/>
          <w:sz w:val="22"/>
        </w:rPr>
        <w:t xml:space="preserve"> regarding military extensions.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605.16(2)</w:t>
      </w:r>
      <w:r>
        <w:rPr>
          <w:rFonts w:ascii="Times New Roman" w:hAnsi="Times New Roman"/>
          <w:b w:val="false"/>
          <w:i w:val="false"/>
          <w:color w:val="000000"/>
          <w:sz w:val="22"/>
        </w:rPr>
        <w:t> </w:t>
      </w:r>
      <w:r>
        <w:rPr>
          <w:rFonts w:ascii="Times New Roman" w:hAnsi="Times New Roman"/>
          <w:b w:val="false"/>
          <w:i/>
          <w:color w:val="000000"/>
          <w:sz w:val="22"/>
        </w:rPr>
        <w:t xml:space="preserve">Renewal of license after military extension. </w:t>
      </w:r>
      <w:r>
        <w:rPr>
          <w:rFonts w:ascii="Times New Roman" w:hAnsi="Times New Roman"/>
          <w:b w:val="false"/>
          <w:i w:val="false"/>
          <w:color w:val="000000"/>
          <w:sz w:val="22"/>
        </w:rPr>
        <w:t xml:space="preserve">When an applicant renews a license after a military extension, the department may require the applicant to provide documentation of both the military service and the date of separation from military service. In accordance with Iowa Code section </w:t>
      </w:r>
      <w:hyperlink r:id="rId100">
        <w:r>
          <w:rPr>
            <w:rStyle w:val="Hyperlink"/>
            <w:rFonts w:ascii="Times New Roman" w:hAnsi="Times New Roman"/>
            <w:b w:val="false"/>
            <w:i w:val="false"/>
            <w:color w:val="000000"/>
            <w:sz w:val="22"/>
          </w:rPr>
          <w:t>321.198(1)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applicant shall pay all applicable fees to renew the license. The applicant may also be waived from the applicable knowledge or driving skills examination in accordance with the provisions of 761—paragraphs </w:t>
      </w:r>
      <w:hyperlink r:id="rId101">
        <w:r>
          <w:rPr>
            <w:rStyle w:val="Hyperlink"/>
            <w:rFonts w:ascii="Times New Roman" w:hAnsi="Times New Roman"/>
            <w:b w:val="false"/>
            <w:i w:val="false"/>
            <w:color w:val="000000"/>
            <w:sz w:val="22"/>
          </w:rPr>
          <w:t>604.21(2)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val="false"/>
          <w:color w:val="000000"/>
          <w:sz w:val="22"/>
        </w:rPr>
        <w:t>604.31(2)</w:t>
      </w:r>
      <w:r>
        <w:rPr>
          <w:rFonts w:ascii="Times New Roman" w:hAnsi="Times New Roman"/>
          <w:b w:val="false"/>
          <w:i/>
          <w:color w:val="000000"/>
          <w:sz w:val="22"/>
        </w:rPr>
        <w:t>“e”</w:t>
      </w:r>
      <w:r>
        <w:rPr>
          <w:rFonts w:ascii="Times New Roman" w:hAnsi="Times New Roman"/>
          <w:b w:val="false"/>
          <w:i w:val="false"/>
          <w:color w:val="000000"/>
          <w:sz w:val="22"/>
        </w:rPr>
        <w:t xml:space="preserve"> and </w:t>
      </w:r>
      <w:hyperlink r:id="rId102">
        <w:r>
          <w:rPr>
            <w:rStyle w:val="Hyperlink"/>
            <w:rFonts w:ascii="Times New Roman" w:hAnsi="Times New Roman"/>
            <w:b w:val="false"/>
            <w:i w:val="false"/>
            <w:color w:val="000000"/>
            <w:sz w:val="22"/>
          </w:rPr>
          <w:t>761—subrules 607.27(5)</w:t>
        </w:r>
      </w:hyperlink>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607.28(6)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605.16(3)</w:t>
      </w:r>
      <w:r>
        <w:rPr>
          <w:rFonts w:ascii="Times New Roman" w:hAnsi="Times New Roman"/>
          <w:b w:val="false"/>
          <w:i w:val="false"/>
          <w:color w:val="000000"/>
          <w:sz w:val="22"/>
        </w:rPr>
        <w:t> </w:t>
      </w:r>
      <w:r>
        <w:rPr>
          <w:rFonts w:ascii="Times New Roman" w:hAnsi="Times New Roman"/>
          <w:b w:val="false"/>
          <w:i/>
          <w:color w:val="000000"/>
          <w:sz w:val="22"/>
        </w:rPr>
        <w:t xml:space="preserve">Reinstatement after sanction. </w:t>
      </w:r>
      <w:r>
        <w:rPr>
          <w:rFonts w:ascii="Times New Roman" w:hAnsi="Times New Roman"/>
          <w:b w:val="false"/>
          <w:i w:val="false"/>
          <w:color w:val="000000"/>
          <w:sz w:val="22"/>
        </w:rPr>
        <w:t>A person with a military extension whose license has been canceled, suspended or revoked shall comply with the requirements of rule </w:t>
      </w:r>
      <w:hyperlink r:id="rId104">
        <w:r>
          <w:rPr>
            <w:rStyle w:val="Hyperlink"/>
            <w:rFonts w:ascii="Times New Roman" w:hAnsi="Times New Roman"/>
            <w:b w:val="false"/>
            <w:i w:val="false"/>
            <w:color w:val="000000"/>
            <w:sz w:val="22"/>
          </w:rPr>
          <w:t>761—615.40</w:t>
        </w:r>
      </w:hyperlink>
      <w:r>
        <w:rPr>
          <w:rFonts w:ascii="Times New Roman" w:hAnsi="Times New Roman"/>
          <w:b w:val="false"/>
          <w:i w:val="false"/>
          <w:color w:val="000000"/>
          <w:sz w:val="22"/>
        </w:rPr>
        <w:t>(321) to reinstate the license.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5">
        <w:r>
          <w:rPr>
            <w:rStyle w:val="Hyperlink"/>
            <w:rFonts w:ascii="Times New Roman" w:hAnsi="Times New Roman"/>
            <w:b w:val="false"/>
            <w:i w:val="false"/>
            <w:color w:val="000000"/>
            <w:sz w:val="22"/>
          </w:rPr>
          <w:t>321.198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4000C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6969C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761—605.17</w:t>
      </w:r>
      <w:r>
        <w:rPr>
          <w:rFonts w:ascii="Times New Roman" w:hAnsi="Times New Roman"/>
          <w:b w:val="false"/>
          <w:i w:val="false"/>
          <w:color w:val="000000"/>
          <w:sz w:val="22"/>
        </w:rPr>
        <w:t xml:space="preserve"> to </w:t>
      </w:r>
      <w:r>
        <w:rPr>
          <w:rFonts w:ascii="Times New Roman" w:hAnsi="Times New Roman"/>
          <w:b/>
          <w:i w:val="false"/>
          <w:color w:val="000000"/>
          <w:sz w:val="22"/>
        </w:rPr>
        <w:t>605.19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761—605.20</w:t>
      </w:r>
      <w:r>
        <w:rPr>
          <w:rFonts w:ascii="Times New Roman" w:hAnsi="Times New Roman"/>
          <w:b/>
          <w:i w:val="false"/>
          <w:color w:val="000000"/>
          <w:sz w:val="22"/>
        </w:rPr>
        <w:t xml:space="preserve">(321) </w:t>
      </w:r>
      <w:r>
        <w:rPr>
          <w:rFonts w:ascii="Times New Roman" w:hAnsi="Times New Roman"/>
          <w:b/>
          <w:i w:val="false"/>
          <w:color w:val="000000"/>
          <w:sz w:val="22"/>
        </w:rPr>
        <w:t xml:space="preserve">Fee adjustment for upgrading license. </w:t>
      </w:r>
      <w:r>
        <w:rPr>
          <w:rFonts w:ascii="Times New Roman" w:hAnsi="Times New Roman"/>
          <w:b w:val="false"/>
          <w:i w:val="false"/>
          <w:color w:val="000000"/>
          <w:sz w:val="22"/>
        </w:rPr>
        <w:t>The fee for upgrading a driver’s license shall be computed on a full-year basis. The fee is charged for each year or part of a year between the date of the change and the expiration date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605.20(1)</w:t>
      </w:r>
      <w:r>
        <w:rPr>
          <w:rFonts w:ascii="Times New Roman" w:hAnsi="Times New Roman"/>
          <w:b w:val="false"/>
          <w:i w:val="false"/>
          <w:color w:val="000000"/>
          <w:sz w:val="22"/>
        </w:rPr>
        <w:t> </w:t>
      </w:r>
      <w:r>
        <w:rPr>
          <w:rFonts w:ascii="Times New Roman" w:hAnsi="Times New Roman"/>
          <w:b w:val="false"/>
          <w:i w:val="false"/>
          <w:color w:val="000000"/>
          <w:sz w:val="22"/>
        </w:rPr>
        <w:t>The fee to upgrade a driver’s license from one class to another is determined by computing the difference between the current license fee and the new license fee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Converting noncommercial Class C to Class D—$4 per year of new license validity.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Converting Class M to Class D with a motorcycle endorsement—$4 per year of new license validity.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Converting Class M to noncommercial Class C with a motorcycle endorsement—$2 one-time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605.20(2)</w:t>
      </w:r>
      <w:r>
        <w:rPr>
          <w:rFonts w:ascii="Times New Roman" w:hAnsi="Times New Roman"/>
          <w:b w:val="false"/>
          <w:i w:val="false"/>
          <w:color w:val="000000"/>
          <w:sz w:val="22"/>
        </w:rPr>
        <w:t> </w:t>
      </w:r>
      <w:r>
        <w:rPr>
          <w:rFonts w:ascii="Times New Roman" w:hAnsi="Times New Roman"/>
          <w:b w:val="false"/>
          <w:i w:val="false"/>
          <w:color w:val="000000"/>
          <w:sz w:val="22"/>
        </w:rPr>
        <w:t>The fee to add a privilege to a driver’s license is computed per year of new license validity as follows:</w:t>
      </w:r>
    </w:p>
    <w:tbl>
      <w:tblPr>
        <w:tblW w:w="5000" w:type="pct"/>
        <w:tblCellSpacing w:w="0" w:type="auto"/>
        <w:tblBorders>
          <w:top w:val="none"/>
          <w:left w:val="none"/>
          <w:bottom w:val="none"/>
          <w:right w:val="none"/>
          <w:insideH w:val="none"/>
          <w:insideV w:val="none"/>
        </w:tblBorders>
        <w:tblLayout w:type="fixed"/>
      </w:tblPr>
      <w:tblGrid>
        <w:gridCol w:w="6689"/>
        <w:gridCol w:w="4501"/>
      </w:tblGrid>
      <w:tr>
        <w:trPr>
          <w:trHeight w:val="390" w:hRule="atLeast"/>
        </w:trPr>
        <w:tc>
          <w:tcPr>
            <w:tcW w:w="66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Noncommercial Class C</w:t>
            </w:r>
          </w:p>
          <w:p>
            <w:pPr>
              <w:spacing w:before="0" w:after="0"/>
              <w:ind w:left="160"/>
              <w:jc w:val="left"/>
            </w:pPr>
            <w:r>
              <w:rPr>
                <w:rFonts w:ascii="Times New Roman" w:hAnsi="Times New Roman"/>
                <w:b w:val="false"/>
                <w:i w:val="false"/>
                <w:color w:val="000000"/>
                <w:sz w:val="16"/>
              </w:rPr>
              <w:t>(full privileges from a restricted Class C)</w:t>
            </w:r>
          </w:p>
        </w:tc>
        <w:tc>
          <w:tcPr>
            <w:tcW w:w="45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$4 per year</w:t>
            </w:r>
          </w:p>
        </w:tc>
      </w:tr>
      <w:tr>
        <w:trPr>
          <w:trHeight w:val="210" w:hRule="atLeast"/>
        </w:trPr>
        <w:tc>
          <w:tcPr>
            <w:tcW w:w="66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Motorized bicycle</w:t>
            </w:r>
          </w:p>
        </w:tc>
        <w:tc>
          <w:tcPr>
            <w:tcW w:w="45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per year</w:t>
            </w:r>
          </w:p>
        </w:tc>
      </w:tr>
      <w:tr>
        <w:trPr>
          <w:trHeight w:val="210" w:hRule="atLeast"/>
        </w:trPr>
        <w:tc>
          <w:tcPr>
            <w:tcW w:w="66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Minor’s restricted license</w:t>
            </w:r>
          </w:p>
        </w:tc>
        <w:tc>
          <w:tcPr>
            <w:tcW w:w="45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per year</w:t>
            </w:r>
          </w:p>
        </w:tc>
      </w:tr>
      <w:tr>
        <w:trPr>
          <w:trHeight w:val="210" w:hRule="atLeast"/>
        </w:trPr>
        <w:tc>
          <w:tcPr>
            <w:tcW w:w="66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Minor’s school license</w:t>
            </w:r>
          </w:p>
        </w:tc>
        <w:tc>
          <w:tcPr>
            <w:tcW w:w="45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per year</w:t>
            </w:r>
          </w:p>
        </w:tc>
      </w:tr>
      <w:tr>
        <w:trPr>
          <w:trHeight w:val="210" w:hRule="atLeast"/>
        </w:trPr>
        <w:tc>
          <w:tcPr>
            <w:tcW w:w="66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Motorcycle instruction permit</w:t>
            </w:r>
          </w:p>
        </w:tc>
        <w:tc>
          <w:tcPr>
            <w:tcW w:w="45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per year</w:t>
            </w:r>
          </w:p>
        </w:tc>
      </w:tr>
      <w:tr>
        <w:trPr>
          <w:trHeight w:val="210" w:hRule="atLeast"/>
        </w:trPr>
        <w:tc>
          <w:tcPr>
            <w:tcW w:w="66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Motorcycle endorsement</w:t>
            </w:r>
          </w:p>
        </w:tc>
        <w:tc>
          <w:tcPr>
            <w:tcW w:w="45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per year</w:t>
            </w:r>
          </w:p>
        </w:tc>
      </w:tr>
    </w:tbl>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6">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and </w:t>
      </w:r>
      <w:hyperlink r:id="rId107">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1714C</w:t>
      </w:r>
      <w:r>
        <w:rPr>
          <w:rFonts w:ascii="Times New Roman" w:hAnsi="Times New Roman"/>
          <w:b w:val="false"/>
          <w:i w:val="false"/>
          <w:color w:val="000000"/>
          <w:sz w:val="16"/>
        </w:rPr>
        <w:t>, IAB 11/12/14, effective 12/17/14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761—605.21</w:t>
      </w:r>
      <w:r>
        <w:rPr>
          <w:rFonts w:ascii="Times New Roman" w:hAnsi="Times New Roman"/>
          <w:b w:val="false"/>
          <w:i w:val="false"/>
          <w:color w:val="000000"/>
          <w:sz w:val="22"/>
        </w:rPr>
        <w:t xml:space="preserve"> to </w:t>
      </w:r>
      <w:r>
        <w:rPr>
          <w:rFonts w:ascii="Times New Roman" w:hAnsi="Times New Roman"/>
          <w:b/>
          <w:i w:val="false"/>
          <w:color w:val="000000"/>
          <w:sz w:val="22"/>
        </w:rPr>
        <w:t>605.24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761—605.25</w:t>
      </w:r>
      <w:r>
        <w:rPr>
          <w:rFonts w:ascii="Times New Roman" w:hAnsi="Times New Roman"/>
          <w:b/>
          <w:i w:val="false"/>
          <w:color w:val="000000"/>
          <w:sz w:val="22"/>
        </w:rPr>
        <w:t xml:space="preserve">(321)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605.25(1)</w:t>
      </w:r>
      <w:r>
        <w:rPr>
          <w:rFonts w:ascii="Times New Roman" w:hAnsi="Times New Roman"/>
          <w:b w:val="false"/>
          <w:i w:val="false"/>
          <w:color w:val="000000"/>
          <w:sz w:val="22"/>
        </w:rPr>
        <w:t> </w:t>
      </w:r>
      <w:r>
        <w:rPr>
          <w:rFonts w:ascii="Times New Roman" w:hAnsi="Times New Roman"/>
          <w:b w:val="false"/>
          <w:i w:val="false"/>
          <w:color w:val="000000"/>
          <w:sz w:val="22"/>
        </w:rPr>
        <w:t>A licensee who wishes to renew a driver’s license shall apply to the department and, if required, pass the appropriate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605.25(2)</w:t>
      </w:r>
      <w:r>
        <w:rPr>
          <w:rFonts w:ascii="Times New Roman" w:hAnsi="Times New Roman"/>
          <w:b w:val="false"/>
          <w:i w:val="false"/>
          <w:color w:val="000000"/>
          <w:sz w:val="22"/>
        </w:rPr>
        <w:t> </w:t>
      </w:r>
      <w:r>
        <w:rPr>
          <w:rFonts w:ascii="Times New Roman" w:hAnsi="Times New Roman"/>
          <w:b w:val="false"/>
          <w:i w:val="false"/>
          <w:color w:val="000000"/>
          <w:sz w:val="22"/>
        </w:rPr>
        <w:t xml:space="preserve">A valid noncommercial license may be renewed within 180 days before the expiration date. The department for good cause may renew a noncommercial license earlier, except the department shall not renew a REAL ID driver’s license issued under rule </w:t>
      </w:r>
      <w:hyperlink r:id="rId108">
        <w:r>
          <w:rPr>
            <w:rStyle w:val="Hyperlink"/>
            <w:rFonts w:ascii="Times New Roman" w:hAnsi="Times New Roman"/>
            <w:b w:val="false"/>
            <w:i w:val="false"/>
            <w:color w:val="000000"/>
            <w:sz w:val="22"/>
          </w:rPr>
          <w:t>761—601.7</w:t>
        </w:r>
      </w:hyperlink>
      <w:r>
        <w:rPr>
          <w:rFonts w:ascii="Times New Roman" w:hAnsi="Times New Roman"/>
          <w:b w:val="false"/>
          <w:i w:val="false"/>
          <w:color w:val="000000"/>
          <w:sz w:val="22"/>
        </w:rPr>
        <w:t>(321) earlier than 180 days before the expiration date if such a renewal would result in noncompliance under 6 CFR Section 37.5(a).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605.25(3)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605.25(4)</w:t>
      </w:r>
      <w:r>
        <w:rPr>
          <w:rFonts w:ascii="Times New Roman" w:hAnsi="Times New Roman"/>
          <w:b w:val="false"/>
          <w:i w:val="false"/>
          <w:color w:val="000000"/>
          <w:sz w:val="22"/>
        </w:rPr>
        <w:t> </w:t>
      </w:r>
      <w:r>
        <w:rPr>
          <w:rFonts w:ascii="Times New Roman" w:hAnsi="Times New Roman"/>
          <w:b w:val="false"/>
          <w:i w:val="false"/>
          <w:color w:val="000000"/>
          <w:sz w:val="22"/>
        </w:rPr>
        <w:t>If the licensee’s current residential address, name, date of birth, or sex designation has changed since the previous license was issued, the licensee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Current residential address. </w:t>
      </w:r>
      <w:r>
        <w:rPr>
          <w:rFonts w:ascii="Times New Roman" w:hAnsi="Times New Roman"/>
          <w:b w:val="false"/>
          <w:i w:val="false"/>
          <w:color w:val="000000"/>
          <w:sz w:val="22"/>
        </w:rPr>
        <w:t>The licensee shall notify the department to establish the current residential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Name. </w:t>
      </w:r>
      <w:r>
        <w:rPr>
          <w:rFonts w:ascii="Times New Roman" w:hAnsi="Times New Roman"/>
          <w:b w:val="false"/>
          <w:i w:val="false"/>
          <w:color w:val="000000"/>
          <w:sz w:val="22"/>
        </w:rPr>
        <w:t xml:space="preserve">The licensee shall comply with the requirements of </w:t>
      </w:r>
      <w:hyperlink r:id="rId109">
        <w:r>
          <w:rPr>
            <w:rStyle w:val="Hyperlink"/>
            <w:rFonts w:ascii="Times New Roman" w:hAnsi="Times New Roman"/>
            <w:b w:val="false"/>
            <w:i w:val="false"/>
            <w:color w:val="000000"/>
            <w:sz w:val="22"/>
          </w:rPr>
          <w:t>761—subrule 601.5(5)</w:t>
        </w:r>
      </w:hyperlink>
      <w:r>
        <w:rPr>
          <w:rFonts w:ascii="Times New Roman" w:hAnsi="Times New Roman"/>
          <w:b w:val="false"/>
          <w:i w:val="false"/>
          <w:color w:val="000000"/>
          <w:sz w:val="22"/>
        </w:rPr>
        <w:t xml:space="preserve"> to establish a name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Date of birth. </w:t>
      </w:r>
      <w:r>
        <w:rPr>
          <w:rFonts w:ascii="Times New Roman" w:hAnsi="Times New Roman"/>
          <w:b w:val="false"/>
          <w:i w:val="false"/>
          <w:color w:val="000000"/>
          <w:sz w:val="22"/>
        </w:rPr>
        <w:t xml:space="preserve">The licensee shall comply with the requirements of </w:t>
      </w:r>
      <w:hyperlink r:id="rId110">
        <w:r>
          <w:rPr>
            <w:rStyle w:val="Hyperlink"/>
            <w:rFonts w:ascii="Times New Roman" w:hAnsi="Times New Roman"/>
            <w:b w:val="false"/>
            <w:i w:val="false"/>
            <w:color w:val="000000"/>
            <w:sz w:val="22"/>
          </w:rPr>
          <w:t>761—subrule 601.5(6)</w:t>
        </w:r>
      </w:hyperlink>
      <w:r>
        <w:rPr>
          <w:rFonts w:ascii="Times New Roman" w:hAnsi="Times New Roman"/>
          <w:b w:val="false"/>
          <w:i w:val="false"/>
          <w:color w:val="000000"/>
          <w:sz w:val="22"/>
        </w:rPr>
        <w:t xml:space="preserve"> to establish a change of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Sex designation. </w:t>
      </w:r>
      <w:r>
        <w:rPr>
          <w:rFonts w:ascii="Times New Roman" w:hAnsi="Times New Roman"/>
          <w:b w:val="false"/>
          <w:i w:val="false"/>
          <w:color w:val="000000"/>
          <w:sz w:val="22"/>
        </w:rPr>
        <w:t xml:space="preserve">The licensee shall comply with the requirements of </w:t>
      </w:r>
      <w:hyperlink r:id="rId111">
        <w:r>
          <w:rPr>
            <w:rStyle w:val="Hyperlink"/>
            <w:rFonts w:ascii="Times New Roman" w:hAnsi="Times New Roman"/>
            <w:b w:val="false"/>
            <w:i w:val="false"/>
            <w:color w:val="000000"/>
            <w:sz w:val="22"/>
          </w:rPr>
          <w:t>761—subrule 601.5(7)</w:t>
        </w:r>
      </w:hyperlink>
      <w:r>
        <w:rPr>
          <w:rFonts w:ascii="Times New Roman" w:hAnsi="Times New Roman"/>
          <w:b w:val="false"/>
          <w:i w:val="false"/>
          <w:color w:val="000000"/>
          <w:sz w:val="22"/>
        </w:rPr>
        <w:t xml:space="preserve"> to establish a change of sex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605.25(5)</w:t>
      </w:r>
      <w:r>
        <w:rPr>
          <w:rFonts w:ascii="Times New Roman" w:hAnsi="Times New Roman"/>
          <w:b w:val="false"/>
          <w:i w:val="false"/>
          <w:color w:val="000000"/>
          <w:sz w:val="22"/>
        </w:rPr>
        <w:t> </w:t>
      </w:r>
      <w:r>
        <w:rPr>
          <w:rFonts w:ascii="Times New Roman" w:hAnsi="Times New Roman"/>
          <w:b w:val="false"/>
          <w:i w:val="false"/>
          <w:color w:val="000000"/>
          <w:sz w:val="22"/>
        </w:rPr>
        <w:t>A licensee who has not previously been issued a license that may be accepted for federal identification purposes under 6 CFR Part 37 (a REAL ID license) and wishes to obtain a REAL ID license upon renewal must comply with the requirements of rule </w:t>
      </w:r>
      <w:hyperlink r:id="rId112">
        <w:r>
          <w:rPr>
            <w:rStyle w:val="Hyperlink"/>
            <w:rFonts w:ascii="Times New Roman" w:hAnsi="Times New Roman"/>
            <w:b w:val="false"/>
            <w:i w:val="false"/>
            <w:color w:val="000000"/>
            <w:sz w:val="22"/>
          </w:rPr>
          <w:t>761—601.5</w:t>
        </w:r>
      </w:hyperlink>
      <w:r>
        <w:rPr>
          <w:rFonts w:ascii="Times New Roman" w:hAnsi="Times New Roman"/>
          <w:b w:val="false"/>
          <w:i w:val="false"/>
          <w:color w:val="000000"/>
          <w:sz w:val="22"/>
        </w:rPr>
        <w:t>(321) to obtain a REAL ID license upon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605.25(6)</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a foreign national with temporary lawful status must provide documentation of lawful status as required by </w:t>
      </w:r>
      <w:hyperlink r:id="rId113">
        <w:r>
          <w:rPr>
            <w:rStyle w:val="Hyperlink"/>
            <w:rFonts w:ascii="Times New Roman" w:hAnsi="Times New Roman"/>
            <w:b w:val="false"/>
            <w:i w:val="false"/>
            <w:color w:val="000000"/>
            <w:sz w:val="22"/>
          </w:rPr>
          <w:t>761—subrule 601.5(4)</w:t>
        </w:r>
      </w:hyperlink>
      <w:r>
        <w:rPr>
          <w:rFonts w:ascii="Times New Roman" w:hAnsi="Times New Roman"/>
          <w:b w:val="false"/>
          <w:i w:val="false"/>
          <w:color w:val="000000"/>
          <w:sz w:val="22"/>
        </w:rPr>
        <w:t xml:space="preserve"> at each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605.25(7)</w:t>
      </w:r>
      <w:r>
        <w:rPr>
          <w:rFonts w:ascii="Times New Roman" w:hAnsi="Times New Roman"/>
          <w:b w:val="false"/>
          <w:i w:val="false"/>
          <w:color w:val="000000"/>
          <w:sz w:val="22"/>
        </w:rPr>
        <w:t> </w:t>
      </w:r>
      <w:r>
        <w:rPr>
          <w:rFonts w:ascii="Times New Roman" w:hAnsi="Times New Roman"/>
          <w:b w:val="false"/>
          <w:i w:val="false"/>
          <w:color w:val="000000"/>
          <w:sz w:val="22"/>
        </w:rPr>
        <w:t>The department may determine means or methods for electronic renewal of a noncommercial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who meets the following criteria may apply for electronic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at least 18 years of age but not yet 70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completed a satisfactory vision screen or submitted a satisfactory vision report under </w:t>
      </w:r>
      <w:hyperlink r:id="rId114">
        <w:r>
          <w:rPr>
            <w:rStyle w:val="Hyperlink"/>
            <w:rFonts w:ascii="Times New Roman" w:hAnsi="Times New Roman"/>
            <w:b w:val="false"/>
            <w:i w:val="false"/>
            <w:color w:val="000000"/>
            <w:sz w:val="22"/>
          </w:rPr>
          <w:t>761—subrules 604.10(1)</w:t>
        </w:r>
      </w:hyperlink>
      <w:r>
        <w:rPr>
          <w:rFonts w:ascii="Times New Roman" w:hAnsi="Times New Roman"/>
          <w:b w:val="false"/>
          <w:i w:val="false"/>
          <w:color w:val="000000"/>
          <w:sz w:val="22"/>
        </w:rPr>
        <w:t xml:space="preserve"> to </w:t>
      </w:r>
      <w:hyperlink r:id="rId115">
        <w:r>
          <w:rPr>
            <w:rStyle w:val="Hyperlink"/>
            <w:rFonts w:ascii="Times New Roman" w:hAnsi="Times New Roman"/>
            <w:b w:val="false"/>
            <w:i w:val="false"/>
            <w:color w:val="000000"/>
            <w:sz w:val="22"/>
          </w:rPr>
          <w:t>604.10(3)</w:t>
        </w:r>
      </w:hyperlink>
      <w:r>
        <w:rPr>
          <w:rFonts w:ascii="Times New Roman" w:hAnsi="Times New Roman"/>
          <w:b w:val="false"/>
          <w:i w:val="false"/>
          <w:color w:val="000000"/>
          <w:sz w:val="22"/>
        </w:rPr>
        <w:t xml:space="preserve"> and updated the applicant’s photo at the applicant’s last issuance 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applicant’s driver’s license has not been expired for more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department’s records show the applicant is a U.S. citizen.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applicant’s driver’s license is not marked “valid without photo.”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applicant is not seeking to change any of the following information as it appears on the applicant’s driver’s license: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applicant’s driver’s license is a Class C noncommercial driver’s license, a Class D noncommercial driver’s license (chauffeur), or Class M noncommercial driver’s license (motorcycle) that is not a special license or permit, a temporary restricted license, or a two-year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applicant is not subject to a pending request for reexamination.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wish to change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Class of license.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License endorsements.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License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applicant is not subject to any of the following restrictions:</w:t>
      </w:r>
    </w:p>
    <w:p>
      <w:pPr>
        <w:spacing w:before="0" w:after="0"/>
        <w:ind w:left="120"/>
        <w:jc w:val="both"/>
      </w:pPr>
      <w:r>
        <w:rPr>
          <w:rFonts w:ascii="Times New Roman" w:hAnsi="Times New Roman"/>
          <w:b w:val="false"/>
          <w:i w:val="false"/>
          <w:color w:val="000000"/>
          <w:sz w:val="22"/>
        </w:rPr>
        <w:t>G—No driving when headlights required</w:t>
      </w:r>
    </w:p>
    <w:p>
      <w:pPr>
        <w:spacing w:before="0" w:after="0"/>
        <w:ind w:left="120"/>
        <w:jc w:val="both"/>
      </w:pPr>
      <w:r>
        <w:rPr>
          <w:rFonts w:ascii="Times New Roman" w:hAnsi="Times New Roman"/>
          <w:b w:val="false"/>
          <w:i w:val="false"/>
          <w:color w:val="000000"/>
          <w:sz w:val="22"/>
        </w:rPr>
        <w:t>J—Restrictions on the back of card</w:t>
      </w:r>
    </w:p>
    <w:p>
      <w:pPr>
        <w:spacing w:before="0" w:after="0"/>
        <w:ind w:left="120"/>
        <w:jc w:val="both"/>
      </w:pPr>
      <w:r>
        <w:rPr>
          <w:rFonts w:ascii="Times New Roman" w:hAnsi="Times New Roman"/>
          <w:b w:val="false"/>
          <w:i w:val="false"/>
          <w:color w:val="000000"/>
          <w:sz w:val="22"/>
        </w:rPr>
        <w:t>T—Medical report required at renewal</w:t>
      </w:r>
    </w:p>
    <w:p>
      <w:pPr>
        <w:spacing w:before="0" w:after="0"/>
        <w:ind w:left="120"/>
        <w:jc w:val="both"/>
      </w:pPr>
      <w:r>
        <w:rPr>
          <w:rFonts w:ascii="Times New Roman" w:hAnsi="Times New Roman"/>
          <w:b w:val="false"/>
          <w:i w:val="false"/>
          <w:color w:val="000000"/>
          <w:sz w:val="22"/>
        </w:rPr>
        <w:t>8—Special instruction permit</w:t>
      </w:r>
    </w:p>
    <w:p>
      <w:pPr>
        <w:spacing w:before="0" w:after="0"/>
        <w:ind w:left="120"/>
        <w:jc w:val="both"/>
      </w:pPr>
      <w:r>
        <w:rPr>
          <w:rFonts w:ascii="Times New Roman" w:hAnsi="Times New Roman"/>
          <w:b w:val="false"/>
          <w:i w:val="false"/>
          <w:color w:val="000000"/>
          <w:sz w:val="22"/>
        </w:rPr>
        <w:t>Q—No interstate or freeway driving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 of this subrule to the contrary, the department may accept an electronic renewal application if the license contains a single “J” restriction accompanied by a “7,” “I” or “Y”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reserves the right to deny electronic renewal and to require the applicant to personally apply for renewal at a driver’s license service center if it appears to the department that the applicant may have a physical or mental condition that may impair the applicant’s ability to safely operate a motor vehicle, even if the applicant otherwise meets the criteria in </w:t>
      </w:r>
      <w:hyperlink r:id="rId116">
        <w:r>
          <w:rPr>
            <w:rStyle w:val="Hyperlink"/>
            <w:rFonts w:ascii="Times New Roman" w:hAnsi="Times New Roman"/>
            <w:b w:val="false"/>
            <w:i w:val="false"/>
            <w:color w:val="000000"/>
            <w:sz w:val="22"/>
          </w:rPr>
          <w:t>605.25(7)</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who has not previously been issued a driver’s license that is compliant with the REAL ID Act of 2005, 49 U.S.C. Section 30301 note, as further defined in 6 CFR Part 37 (a REAL ID license) may not request a REAL ID driver’s license by electronic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605.25(8)</w:t>
      </w:r>
      <w:r>
        <w:rPr>
          <w:rFonts w:ascii="Times New Roman" w:hAnsi="Times New Roman"/>
          <w:b w:val="false"/>
          <w:i w:val="false"/>
          <w:color w:val="000000"/>
          <w:sz w:val="22"/>
        </w:rPr>
        <w:t> </w:t>
      </w:r>
      <w:r>
        <w:rPr>
          <w:rFonts w:ascii="Times New Roman" w:hAnsi="Times New Roman"/>
          <w:b w:val="false"/>
          <w:i w:val="false"/>
          <w:color w:val="000000"/>
          <w:sz w:val="22"/>
        </w:rPr>
        <w:t>The department may determine means or methods for electronic renewal of a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is otherwise eligible to renew a commercial driver’s license must meet the same eligibility requirements for renewing a noncommercial driver’s license listed in </w:t>
      </w:r>
      <w:hyperlink r:id="rId117">
        <w:r>
          <w:rPr>
            <w:rStyle w:val="Hyperlink"/>
            <w:rFonts w:ascii="Times New Roman" w:hAnsi="Times New Roman"/>
            <w:b w:val="false"/>
            <w:i w:val="false"/>
            <w:color w:val="000000"/>
            <w:sz w:val="22"/>
          </w:rPr>
          <w:t>paragraph 605.25(7)</w:t>
        </w:r>
        <w:r>
          <w:rPr>
            <w:rFonts w:ascii="Times New Roman" w:hAnsi="Times New Roman"/>
            <w:b w:val="false"/>
            <w:i/>
            <w:color w:val="000000"/>
            <w:sz w:val="22"/>
          </w:rPr>
          <w:t>“a”</w:t>
        </w:r>
      </w:hyperlink>
      <w:r>
        <w:rPr>
          <w:rFonts w:ascii="Times New Roman" w:hAnsi="Times New Roman"/>
          <w:b w:val="false"/>
          <w:i w:val="false"/>
          <w:color w:val="000000"/>
          <w:sz w:val="22"/>
        </w:rPr>
        <w:t xml:space="preserve"> to renew the license electronically, except that numbered </w:t>
      </w:r>
      <w:hyperlink r:id="rId118">
        <w:r>
          <w:rPr>
            <w:rStyle w:val="Hyperlink"/>
            <w:rFonts w:ascii="Times New Roman" w:hAnsi="Times New Roman"/>
            <w:b w:val="false"/>
            <w:i w:val="false"/>
            <w:color w:val="000000"/>
            <w:sz w:val="22"/>
          </w:rPr>
          <w:t>paragraph 605.25(7)</w:t>
        </w:r>
        <w:r>
          <w:rPr>
            <w:rFonts w:ascii="Times New Roman" w:hAnsi="Times New Roman"/>
            <w:b w:val="false"/>
            <w:i/>
            <w:color w:val="000000"/>
            <w:sz w:val="22"/>
          </w:rPr>
          <w:t>“a”</w:t>
        </w:r>
        <w:r>
          <w:rPr>
            <w:rFonts w:ascii="Times New Roman" w:hAnsi="Times New Roman"/>
            <w:b w:val="false"/>
            <w:i w:val="false"/>
            <w:color w:val="000000"/>
            <w:sz w:val="22"/>
          </w:rPr>
          <w:t>(9)</w:t>
        </w:r>
      </w:hyperlink>
      <w:r>
        <w:rPr>
          <w:rFonts w:ascii="Times New Roman" w:hAnsi="Times New Roman"/>
          <w:b w:val="false"/>
          <w:i w:val="false"/>
          <w:color w:val="000000"/>
          <w:sz w:val="22"/>
        </w:rPr>
        <w:t>“3” shall not apply if the applicant is adding or removing the K restriction from the license at the time of renewal. The applicant must also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is not subject to any of the following restrictions or endorsements:</w:t>
      </w:r>
    </w:p>
    <w:p>
      <w:pPr>
        <w:spacing w:before="0" w:after="0"/>
        <w:ind w:left="120"/>
        <w:jc w:val="both"/>
      </w:pPr>
      <w:r>
        <w:rPr>
          <w:rFonts w:ascii="Times New Roman" w:hAnsi="Times New Roman"/>
          <w:b w:val="false"/>
          <w:i w:val="false"/>
          <w:color w:val="000000"/>
          <w:sz w:val="22"/>
        </w:rPr>
        <w:t>H—Hazardous material</w:t>
      </w:r>
    </w:p>
    <w:p>
      <w:pPr>
        <w:spacing w:before="0" w:after="0"/>
        <w:ind w:left="120"/>
        <w:jc w:val="both"/>
      </w:pPr>
      <w:r>
        <w:rPr>
          <w:rFonts w:ascii="Times New Roman" w:hAnsi="Times New Roman"/>
          <w:b w:val="false"/>
          <w:i w:val="false"/>
          <w:color w:val="000000"/>
          <w:sz w:val="22"/>
        </w:rPr>
        <w:t>X—Hazardous material and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does not also hold a valid commercial learner’s permit under Iowa Code section </w:t>
      </w:r>
      <w:hyperlink r:id="rId119">
        <w:r>
          <w:rPr>
            <w:rStyle w:val="Hyperlink"/>
            <w:rFonts w:ascii="Times New Roman" w:hAnsi="Times New Roman"/>
            <w:b w:val="false"/>
            <w:i w:val="false"/>
            <w:color w:val="000000"/>
            <w:sz w:val="22"/>
          </w:rPr>
          <w:t>321.180(2)</w:t>
        </w:r>
      </w:hyperlink>
      <w:r>
        <w:rPr>
          <w:rFonts w:ascii="Times New Roman" w:hAnsi="Times New Roman"/>
          <w:b w:val="false"/>
          <w:i w:val="false"/>
          <w:color w:val="000000"/>
          <w:sz w:val="22"/>
        </w:rPr>
        <w:t xml:space="preserve"> as documented by restriction 3 on the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self-certifying to non-excepted interstate driving has a valid medical certificate on file with the department as required under rule </w:t>
      </w:r>
      <w:hyperlink r:id="rId120">
        <w:r>
          <w:rPr>
            <w:rStyle w:val="Hyperlink"/>
            <w:rFonts w:ascii="Times New Roman" w:hAnsi="Times New Roman"/>
            <w:b w:val="false"/>
            <w:i w:val="false"/>
            <w:color w:val="000000"/>
            <w:sz w:val="22"/>
          </w:rPr>
          <w:t>761—607.50</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in </w:t>
      </w:r>
      <w:hyperlink r:id="rId121">
        <w:r>
          <w:rPr>
            <w:rStyle w:val="Hyperlink"/>
            <w:rFonts w:ascii="Times New Roman" w:hAnsi="Times New Roman"/>
            <w:b w:val="false"/>
            <w:i w:val="false"/>
            <w:color w:val="000000"/>
            <w:sz w:val="22"/>
          </w:rPr>
          <w:t>paragraphs 605.25(7)</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122">
        <w:r>
          <w:rPr>
            <w:rStyle w:val="Hyperlink"/>
            <w:rFonts w:ascii="Times New Roman" w:hAnsi="Times New Roman"/>
            <w:b w:val="false"/>
            <w:i w:val="false"/>
            <w:color w:val="000000"/>
            <w:sz w:val="22"/>
          </w:rPr>
          <w:t>605.25(7)</w:t>
        </w:r>
        <w:r>
          <w:rPr>
            <w:rFonts w:ascii="Times New Roman" w:hAnsi="Times New Roman"/>
            <w:b w:val="false"/>
            <w:i/>
            <w:color w:val="000000"/>
            <w:sz w:val="22"/>
          </w:rPr>
          <w:t>“d”</w:t>
        </w:r>
      </w:hyperlink>
      <w:r>
        <w:rPr>
          <w:rFonts w:ascii="Times New Roman" w:hAnsi="Times New Roman"/>
          <w:b w:val="false"/>
          <w:i w:val="false"/>
          <w:color w:val="000000"/>
          <w:sz w:val="22"/>
        </w:rPr>
        <w:t xml:space="preserve"> shall also apply to a license issued under this subrule.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3">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w:t>
      </w:r>
      <w:hyperlink r:id="rId124">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25">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the REAL ID Act of 2005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30301 note); and 6 CFR Part 37.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0347C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0895C</w:t>
      </w:r>
      <w:r>
        <w:rPr>
          <w:rFonts w:ascii="Times New Roman" w:hAnsi="Times New Roman"/>
          <w:b w:val="false"/>
          <w:i w:val="false"/>
          <w:color w:val="000000"/>
          <w:sz w:val="16"/>
        </w:rPr>
        <w:t>, IAB 8/7/13, effective 7/9/13</w:t>
      </w:r>
      <w:r>
        <w:rPr>
          <w:rFonts w:ascii="Times New Roman" w:hAnsi="Times New Roman"/>
          <w:b w:val="false"/>
          <w:i w:val="false"/>
          <w:color w:val="000000"/>
          <w:sz w:val="16"/>
        </w:rPr>
        <w:t xml:space="preserve">; </w:t>
      </w:r>
      <w:r>
        <w:rPr>
          <w:rFonts w:ascii="Times New Roman" w:hAnsi="Times New Roman"/>
          <w:b/>
          <w:i w:val="false"/>
          <w:color w:val="000000"/>
          <w:sz w:val="16"/>
        </w:rPr>
        <w:t>ARC 1073C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4000C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5942C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6307C</w:t>
      </w:r>
      <w:r>
        <w:rPr>
          <w:rFonts w:ascii="Times New Roman" w:hAnsi="Times New Roman"/>
          <w:b w:val="false"/>
          <w:i w:val="false"/>
          <w:color w:val="000000"/>
          <w:sz w:val="16"/>
        </w:rPr>
        <w:t>, IAB 5/4/22, effective 6/8/22</w:t>
      </w:r>
      <w:r>
        <w:rPr>
          <w:rFonts w:ascii="Times New Roman" w:hAnsi="Times New Roman"/>
          <w:b w:val="false"/>
          <w:i w:val="false"/>
          <w:color w:val="000000"/>
          <w:sz w:val="16"/>
        </w:rPr>
        <w:t xml:space="preserve">; </w:t>
      </w:r>
      <w:r>
        <w:rPr>
          <w:rFonts w:ascii="Times New Roman" w:hAnsi="Times New Roman"/>
          <w:b/>
          <w:i w:val="false"/>
          <w:color w:val="000000"/>
          <w:sz w:val="16"/>
        </w:rPr>
        <w:t>ARC 6969C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761—605.26</w:t>
      </w:r>
      <w:r>
        <w:rPr>
          <w:rFonts w:ascii="Times New Roman" w:hAnsi="Times New Roman"/>
          <w:b/>
          <w:i w:val="false"/>
          <w:color w:val="000000"/>
          <w:sz w:val="22"/>
        </w:rPr>
        <w:t xml:space="preserve">(321) </w:t>
      </w:r>
      <w:r>
        <w:rPr>
          <w:rFonts w:ascii="Times New Roman" w:hAnsi="Times New Roman"/>
          <w:b/>
          <w:i w:val="false"/>
          <w:color w:val="000000"/>
          <w:sz w:val="22"/>
        </w:rPr>
        <w:t xml:space="preserve">Graduated driver’s license upgrades. </w:t>
      </w:r>
      <w:r>
        <w:rPr>
          <w:rFonts w:ascii="Times New Roman" w:hAnsi="Times New Roman"/>
          <w:b w:val="false"/>
          <w:i w:val="false"/>
          <w:color w:val="000000"/>
          <w:sz w:val="22"/>
        </w:rPr>
        <w:t xml:space="preserve">An applicant subject to the graduated driver’s license requirements under Iowa Code section </w:t>
      </w:r>
      <w:hyperlink r:id="rId126">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who is otherwise eligible for a driver’s license is eligible to electronically apply to upgrade the applicant’s driver’s license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605.26(1)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the requirements in subparagraphs </w:t>
      </w:r>
      <w:hyperlink r:id="rId127">
        <w:r>
          <w:rPr>
            <w:rStyle w:val="Hyperlink"/>
            <w:rFonts w:ascii="Times New Roman" w:hAnsi="Times New Roman"/>
            <w:b w:val="false"/>
            <w:i w:val="false"/>
            <w:color w:val="000000"/>
            <w:sz w:val="22"/>
          </w:rPr>
          <w:t>605.25(7)</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128">
        <w:r>
          <w:rPr>
            <w:rStyle w:val="Hyperlink"/>
            <w:rFonts w:ascii="Times New Roman" w:hAnsi="Times New Roman"/>
            <w:b w:val="false"/>
            <w:i w:val="false"/>
            <w:color w:val="000000"/>
            <w:sz w:val="22"/>
          </w:rPr>
          <w:t>605.25(7)</w:t>
        </w:r>
      </w:hyperlink>
      <w:r>
        <w:rPr>
          <w:rFonts w:ascii="Times New Roman" w:hAnsi="Times New Roman"/>
          <w:b w:val="false"/>
          <w:i/>
          <w:color w:val="000000"/>
          <w:sz w:val="22"/>
        </w:rPr>
        <w:t>“a”</w:t>
      </w:r>
      <w:r>
        <w:rPr>
          <w:rFonts w:ascii="Times New Roman" w:hAnsi="Times New Roman"/>
          <w:b w:val="false"/>
          <w:i w:val="false"/>
          <w:color w:val="000000"/>
          <w:sz w:val="22"/>
        </w:rPr>
        <w:t xml:space="preserve">(2), the applicant must meet the eligibility requirements listed in </w:t>
      </w:r>
      <w:hyperlink r:id="rId129">
        <w:r>
          <w:rPr>
            <w:rStyle w:val="Hyperlink"/>
            <w:rFonts w:ascii="Times New Roman" w:hAnsi="Times New Roman"/>
            <w:b w:val="false"/>
            <w:i w:val="false"/>
            <w:color w:val="000000"/>
            <w:sz w:val="22"/>
          </w:rPr>
          <w:t>paragraph 605.25(7)</w:t>
        </w:r>
      </w:hyperlink>
      <w:r>
        <w:rPr>
          <w:rFonts w:ascii="Times New Roman" w:hAnsi="Times New Roman"/>
          <w:b w:val="false"/>
          <w:i/>
          <w:color w:val="000000"/>
          <w:sz w:val="22"/>
        </w:rPr>
        <w:t>“a”</w:t>
      </w:r>
      <w:r>
        <w:rPr>
          <w:rFonts w:ascii="Times New Roman" w:hAnsi="Times New Roman"/>
          <w:b w:val="false"/>
          <w:i w:val="false"/>
          <w:color w:val="000000"/>
          <w:sz w:val="22"/>
        </w:rPr>
        <w:t xml:space="preserve"> to upgrade the license electronically and must also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have been issued an intermediate license under Iowa Code section </w:t>
      </w:r>
      <w:hyperlink r:id="rId130">
        <w:r>
          <w:rPr>
            <w:rStyle w:val="Hyperlink"/>
            <w:rFonts w:ascii="Times New Roman" w:hAnsi="Times New Roman"/>
            <w:b w:val="false"/>
            <w:i w:val="false"/>
            <w:color w:val="000000"/>
            <w:sz w:val="22"/>
          </w:rPr>
          <w:t>321.180B(2)</w:t>
        </w:r>
      </w:hyperlink>
      <w:r>
        <w:rPr>
          <w:rFonts w:ascii="Times New Roman" w:hAnsi="Times New Roman"/>
          <w:b w:val="false"/>
          <w:i w:val="false"/>
          <w:color w:val="000000"/>
          <w:sz w:val="22"/>
        </w:rPr>
        <w:t xml:space="preserve"> or a minor’s school license under Iowa Code section </w:t>
      </w:r>
      <w:hyperlink r:id="rId131">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in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otherwise be eligible to upgrade a license class privilege under Iowa Code section </w:t>
      </w:r>
      <w:hyperlink r:id="rId132">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or </w:t>
      </w:r>
      <w:hyperlink r:id="rId133">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605.26(2)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in paragraphs </w:t>
      </w:r>
      <w:hyperlink r:id="rId134">
        <w:r>
          <w:rPr>
            <w:rStyle w:val="Hyperlink"/>
            <w:rFonts w:ascii="Times New Roman" w:hAnsi="Times New Roman"/>
            <w:b w:val="false"/>
            <w:i w:val="false"/>
            <w:color w:val="000000"/>
            <w:sz w:val="22"/>
          </w:rPr>
          <w:t>605.25(7)</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35">
        <w:r>
          <w:rPr>
            <w:rStyle w:val="Hyperlink"/>
            <w:rFonts w:ascii="Times New Roman" w:hAnsi="Times New Roman"/>
            <w:b w:val="false"/>
            <w:i w:val="false"/>
            <w:color w:val="000000"/>
            <w:sz w:val="22"/>
          </w:rPr>
          <w:t>605.25(7)</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also apply to a license issued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605.26(3)</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upgrades the applicant’s driver’s license electronically under this rule to a driver’s license with an eight-year expiration date, the applicant is ineligible to electronically renew the applicant’s full driver’s license at the next renewal period.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605.26(4)</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 of this rule to the contrary, the department may accept an electronic application to upgrade a license containing a “J” restriction if the “J” restriction is related only to a secondary address.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6">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and </w:t>
      </w:r>
      <w:hyperlink r:id="rId137">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6/7/90—published 6/27/90, effective 7/1/90]</w:t>
      </w:r>
    </w:p>
    <w:p>
      <w:pPr>
        <w:spacing w:before="0" w:after="0"/>
        <w:ind w:left="120"/>
        <w:jc w:val="center"/>
      </w:pPr>
      <w:r>
        <w:rPr>
          <w:rFonts w:ascii="Times New Roman" w:hAnsi="Times New Roman"/>
          <w:b w:val="false"/>
          <w:i w:val="false"/>
          <w:color w:val="000000"/>
          <w:sz w:val="21"/>
        </w:rPr>
        <w:t>[Filed emergency 10/24/90—published 11/14/90, effective 10/24/90]</w:t>
      </w:r>
    </w:p>
    <w:p>
      <w:pPr>
        <w:spacing w:before="0" w:after="0"/>
        <w:ind w:left="120"/>
        <w:jc w:val="center"/>
      </w:pPr>
      <w:r>
        <w:rPr>
          <w:rFonts w:ascii="Times New Roman" w:hAnsi="Times New Roman"/>
          <w:b w:val="false"/>
          <w:i w:val="false"/>
          <w:color w:val="000000"/>
          <w:sz w:val="21"/>
        </w:rPr>
        <w:t>[Filed 5/9/91, Notices 11/14/90, 2/20/91—published 5/29/91, effective 7/3/91]</w:t>
      </w:r>
    </w:p>
    <w:p>
      <w:pPr>
        <w:spacing w:before="0" w:after="0"/>
        <w:ind w:left="120"/>
        <w:jc w:val="center"/>
      </w:pPr>
      <w:r>
        <w:rPr>
          <w:rFonts w:ascii="Times New Roman" w:hAnsi="Times New Roman"/>
          <w:b w:val="false"/>
          <w:i w:val="false"/>
          <w:color w:val="000000"/>
          <w:sz w:val="21"/>
        </w:rPr>
        <w:t>[Filed 12/18/91, Notice 11/13/91—published 1/8/92, effective 2/12/92]</w:t>
      </w:r>
    </w:p>
    <w:p>
      <w:pPr>
        <w:spacing w:before="0" w:after="0"/>
        <w:ind w:left="120"/>
        <w:jc w:val="center"/>
      </w:pPr>
      <w:r>
        <w:rPr>
          <w:rFonts w:ascii="Times New Roman" w:hAnsi="Times New Roman"/>
          <w:b w:val="false"/>
          <w:i w:val="false"/>
          <w:color w:val="000000"/>
          <w:sz w:val="21"/>
        </w:rPr>
        <w:t>[Filed 11/4/93, Notice 9/29/93—published 11/24/93, effective 12/29/93]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1/10/94—published 2/2/94, effective 1/10/94]</w:t>
      </w:r>
    </w:p>
    <w:p>
      <w:pPr>
        <w:spacing w:before="0" w:after="0"/>
        <w:ind w:left="120"/>
        <w:jc w:val="center"/>
      </w:pPr>
      <w:r>
        <w:rPr>
          <w:rFonts w:ascii="Times New Roman" w:hAnsi="Times New Roman"/>
          <w:b w:val="false"/>
          <w:i w:val="false"/>
          <w:color w:val="000000"/>
          <w:sz w:val="21"/>
        </w:rPr>
        <w:t>[Filed 10/30/96, Notice 9/25/96—published 11/20/96, effective 12/25/96]</w:t>
      </w:r>
    </w:p>
    <w:p>
      <w:pPr>
        <w:spacing w:before="0" w:after="0"/>
        <w:ind w:left="120"/>
        <w:jc w:val="center"/>
      </w:pPr>
      <w:r>
        <w:rPr>
          <w:rFonts w:ascii="Times New Roman" w:hAnsi="Times New Roman"/>
          <w:b w:val="false"/>
          <w:i w:val="false"/>
          <w:color w:val="000000"/>
          <w:sz w:val="21"/>
        </w:rPr>
        <w:t>[Filed 1/21/98, Notice 12/17/97—published 2/11/98, effective 3/18/98]</w:t>
      </w:r>
    </w:p>
    <w:p>
      <w:pPr>
        <w:spacing w:before="0" w:after="0"/>
        <w:ind w:left="120"/>
        <w:jc w:val="center"/>
      </w:pPr>
      <w:r>
        <w:rPr>
          <w:rFonts w:ascii="Times New Roman" w:hAnsi="Times New Roman"/>
          <w:b w:val="false"/>
          <w:i w:val="false"/>
          <w:color w:val="000000"/>
          <w:sz w:val="21"/>
        </w:rPr>
        <w:t>[Filed 10/28/98, Notice 9/23/98—published 11/18/98, effective 12/23/98]</w:t>
      </w:r>
    </w:p>
    <w:p>
      <w:pPr>
        <w:spacing w:before="0" w:after="0"/>
        <w:ind w:left="120"/>
        <w:jc w:val="center"/>
      </w:pPr>
      <w:r>
        <w:rPr>
          <w:rFonts w:ascii="Times New Roman" w:hAnsi="Times New Roman"/>
          <w:b w:val="false"/>
          <w:i w:val="false"/>
          <w:color w:val="000000"/>
          <w:sz w:val="21"/>
        </w:rPr>
        <w:t>[Filed emergency 7/20/00 after Notice 6/14/00—published 8/9/00, effective 7/24/00]</w:t>
      </w:r>
    </w:p>
    <w:p>
      <w:pPr>
        <w:spacing w:before="0" w:after="0"/>
        <w:ind w:left="120"/>
        <w:jc w:val="center"/>
      </w:pPr>
      <w:r>
        <w:rPr>
          <w:rFonts w:ascii="Times New Roman" w:hAnsi="Times New Roman"/>
          <w:b w:val="false"/>
          <w:i w:val="false"/>
          <w:color w:val="000000"/>
          <w:sz w:val="21"/>
        </w:rPr>
        <w:t>[Filed 2/15/02, Notice 12/26/01—published 3/20/02, effective 4/24/02]</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emergency 3/21/03—published 4/16/03, effective 3/21/03]</w:t>
      </w:r>
    </w:p>
    <w:p>
      <w:pPr>
        <w:spacing w:before="0" w:after="0"/>
        <w:ind w:left="120"/>
        <w:jc w:val="center"/>
      </w:pPr>
      <w:r>
        <w:rPr>
          <w:rFonts w:ascii="Times New Roman" w:hAnsi="Times New Roman"/>
          <w:b w:val="false"/>
          <w:i w:val="false"/>
          <w:color w:val="000000"/>
          <w:sz w:val="21"/>
        </w:rPr>
        <w:t>[Filed emergency 6/15/05 after Notice 5/11/05—published 7/6/05, effective 7/1/05]</w:t>
      </w:r>
    </w:p>
    <w:p>
      <w:pPr>
        <w:spacing w:before="0" w:after="0"/>
        <w:ind w:left="120"/>
        <w:jc w:val="center"/>
      </w:pPr>
      <w:r>
        <w:rPr>
          <w:rFonts w:ascii="Times New Roman" w:hAnsi="Times New Roman"/>
          <w:b w:val="false"/>
          <w:i w:val="false"/>
          <w:color w:val="000000"/>
          <w:sz w:val="21"/>
        </w:rPr>
        <w:t>[Filed 6/14/06, Notice 4/12/06—published 7/5/06, effective 8/9/06]</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ARC 7902B</w:t>
      </w:r>
      <w:r>
        <w:rPr>
          <w:rFonts w:ascii="Times New Roman" w:hAnsi="Times New Roman"/>
          <w:b w:val="false"/>
          <w:i w:val="false"/>
          <w:color w:val="000000"/>
          <w:sz w:val="21"/>
        </w:rPr>
        <w:t xml:space="preserve"> (Notice ARC 7721B,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9991B</w:t>
      </w:r>
      <w:r>
        <w:rPr>
          <w:rFonts w:ascii="Times New Roman" w:hAnsi="Times New Roman"/>
          <w:b w:val="false"/>
          <w:i w:val="false"/>
          <w:color w:val="000000"/>
          <w:sz w:val="21"/>
        </w:rPr>
        <w:t xml:space="preserve"> (Notice ARC 9874B, IAB 11/30/11)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0347C</w:t>
      </w:r>
      <w:r>
        <w:rPr>
          <w:rFonts w:ascii="Times New Roman" w:hAnsi="Times New Roman"/>
          <w:b w:val="false"/>
          <w:i w:val="false"/>
          <w:color w:val="000000"/>
          <w:sz w:val="21"/>
        </w:rPr>
        <w:t xml:space="preserve"> (Notice ARC 0201C, IAB 7/11/12)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0661C</w:t>
      </w:r>
      <w:r>
        <w:rPr>
          <w:rFonts w:ascii="Times New Roman" w:hAnsi="Times New Roman"/>
          <w:b w:val="false"/>
          <w:i w:val="false"/>
          <w:color w:val="000000"/>
          <w:sz w:val="21"/>
        </w:rPr>
        <w:t xml:space="preserve"> (Notice ARC 0571C, IAB 1/23/13)</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Emergency ARC 0895C, IAB 8/7/13, effective 7/9/13]</w:t>
      </w:r>
    </w:p>
    <w:p>
      <w:pPr>
        <w:spacing w:before="0" w:after="0"/>
        <w:ind w:left="120"/>
        <w:jc w:val="center"/>
      </w:pPr>
      <w:r>
        <w:rPr>
          <w:rFonts w:ascii="Times New Roman" w:hAnsi="Times New Roman"/>
          <w:b w:val="false"/>
          <w:i w:val="false"/>
          <w:color w:val="000000"/>
          <w:sz w:val="21"/>
        </w:rPr>
        <w:t>[Filed ARC 1073C</w:t>
      </w:r>
      <w:r>
        <w:rPr>
          <w:rFonts w:ascii="Times New Roman" w:hAnsi="Times New Roman"/>
          <w:b w:val="false"/>
          <w:i w:val="false"/>
          <w:color w:val="000000"/>
          <w:sz w:val="21"/>
        </w:rPr>
        <w:t xml:space="preserve"> (Notice ARC 0894C,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1714C</w:t>
      </w:r>
      <w:r>
        <w:rPr>
          <w:rFonts w:ascii="Times New Roman" w:hAnsi="Times New Roman"/>
          <w:b w:val="false"/>
          <w:i w:val="false"/>
          <w:color w:val="000000"/>
          <w:sz w:val="21"/>
        </w:rPr>
        <w:t xml:space="preserve"> (Notice ARC 1601C, IAB 9/3/14)</w:t>
      </w:r>
      <w:r>
        <w:rPr>
          <w:rFonts w:ascii="Times New Roman" w:hAnsi="Times New Roman"/>
          <w:b w:val="false"/>
          <w:i w:val="false"/>
          <w:color w:val="000000"/>
          <w:sz w:val="21"/>
        </w:rPr>
        <w:t>, IAB 11/12/14, effective 12/17/14]</w:t>
      </w:r>
    </w:p>
    <w:p>
      <w:pPr>
        <w:spacing w:before="0" w:after="0"/>
        <w:ind w:left="120"/>
        <w:jc w:val="center"/>
      </w:pPr>
      <w:r>
        <w:rPr>
          <w:rFonts w:ascii="Times New Roman" w:hAnsi="Times New Roman"/>
          <w:b w:val="false"/>
          <w:i w:val="false"/>
          <w:color w:val="000000"/>
          <w:sz w:val="21"/>
        </w:rPr>
        <w:t>[Filed Emergency ARC 2071C, IAB 8/5/15, effective 7/14/15]</w:t>
      </w:r>
    </w:p>
    <w:p>
      <w:pPr>
        <w:spacing w:before="0" w:after="0"/>
        <w:ind w:left="120"/>
        <w:jc w:val="center"/>
      </w:pPr>
      <w:r>
        <w:rPr>
          <w:rFonts w:ascii="Times New Roman" w:hAnsi="Times New Roman"/>
          <w:b w:val="false"/>
          <w:i w:val="false"/>
          <w:color w:val="000000"/>
          <w:sz w:val="21"/>
        </w:rPr>
        <w:t>[Filed ARC 2337C</w:t>
      </w:r>
      <w:r>
        <w:rPr>
          <w:rFonts w:ascii="Times New Roman" w:hAnsi="Times New Roman"/>
          <w:b w:val="false"/>
          <w:i w:val="false"/>
          <w:color w:val="000000"/>
          <w:sz w:val="21"/>
        </w:rPr>
        <w:t xml:space="preserve"> (Notice ARC 2070C, IAB 8/5/15)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2888C</w:t>
      </w:r>
      <w:r>
        <w:rPr>
          <w:rFonts w:ascii="Times New Roman" w:hAnsi="Times New Roman"/>
          <w:b w:val="false"/>
          <w:i w:val="false"/>
          <w:color w:val="000000"/>
          <w:sz w:val="21"/>
        </w:rPr>
        <w:t xml:space="preserve"> (Notice ARC 2800C, IAB 11/9/16)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ARC 3451C</w:t>
      </w:r>
      <w:r>
        <w:rPr>
          <w:rFonts w:ascii="Times New Roman" w:hAnsi="Times New Roman"/>
          <w:b w:val="false"/>
          <w:i w:val="false"/>
          <w:color w:val="000000"/>
          <w:sz w:val="21"/>
        </w:rPr>
        <w:t xml:space="preserve"> (Notice ARC 3307C, IAB 9/13/17)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4000C</w:t>
      </w:r>
      <w:r>
        <w:rPr>
          <w:rFonts w:ascii="Times New Roman" w:hAnsi="Times New Roman"/>
          <w:b w:val="false"/>
          <w:i w:val="false"/>
          <w:color w:val="000000"/>
          <w:sz w:val="21"/>
        </w:rPr>
        <w:t xml:space="preserve"> (Notice ARC 3865C, IAB 7/4/18)</w:t>
      </w:r>
      <w:r>
        <w:rPr>
          <w:rFonts w:ascii="Times New Roman" w:hAnsi="Times New Roman"/>
          <w:b w:val="false"/>
          <w:i w:val="false"/>
          <w:color w:val="000000"/>
          <w:sz w:val="21"/>
        </w:rPr>
        <w:t>, IAB 9/12/18, effective 10/17/18]</w:t>
      </w:r>
    </w:p>
    <w:p>
      <w:pPr>
        <w:spacing w:before="0" w:after="0"/>
        <w:ind w:left="120"/>
        <w:jc w:val="center"/>
      </w:pPr>
      <w:r>
        <w:rPr>
          <w:rFonts w:ascii="Times New Roman" w:hAnsi="Times New Roman"/>
          <w:b w:val="false"/>
          <w:i w:val="false"/>
          <w:color w:val="000000"/>
          <w:sz w:val="21"/>
        </w:rPr>
        <w:t>[Filed ARC 4586C</w:t>
      </w:r>
      <w:r>
        <w:rPr>
          <w:rFonts w:ascii="Times New Roman" w:hAnsi="Times New Roman"/>
          <w:b w:val="false"/>
          <w:i w:val="false"/>
          <w:color w:val="000000"/>
          <w:sz w:val="21"/>
        </w:rPr>
        <w:t xml:space="preserve"> (Notice ARC 4476C, IAB 6/5/19)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4851C</w:t>
      </w:r>
      <w:r>
        <w:rPr>
          <w:rFonts w:ascii="Times New Roman" w:hAnsi="Times New Roman"/>
          <w:b w:val="false"/>
          <w:i w:val="false"/>
          <w:color w:val="000000"/>
          <w:sz w:val="21"/>
        </w:rPr>
        <w:t xml:space="preserve"> (Notice ARC 4715C, IAB 10/23/19)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[Filed ARC 5302C</w:t>
      </w:r>
      <w:r>
        <w:rPr>
          <w:rFonts w:ascii="Times New Roman" w:hAnsi="Times New Roman"/>
          <w:b w:val="false"/>
          <w:i w:val="false"/>
          <w:color w:val="000000"/>
          <w:sz w:val="21"/>
        </w:rPr>
        <w:t xml:space="preserve"> (Notice ARC 5179C, IAB 9/23/20)</w:t>
      </w:r>
      <w:r>
        <w:rPr>
          <w:rFonts w:ascii="Times New Roman" w:hAnsi="Times New Roman"/>
          <w:b w:val="false"/>
          <w:i w:val="false"/>
          <w:color w:val="000000"/>
          <w:sz w:val="21"/>
        </w:rPr>
        <w:t>, IAB 12/2/20, effective 1/6/21]</w:t>
      </w:r>
    </w:p>
    <w:p>
      <w:pPr>
        <w:spacing w:before="0" w:after="0"/>
        <w:ind w:left="120"/>
        <w:jc w:val="center"/>
      </w:pPr>
      <w:r>
        <w:rPr>
          <w:rFonts w:ascii="Times New Roman" w:hAnsi="Times New Roman"/>
          <w:b w:val="false"/>
          <w:i w:val="false"/>
          <w:color w:val="000000"/>
          <w:sz w:val="21"/>
        </w:rPr>
        <w:t>[Filed ARC 5495C</w:t>
      </w:r>
      <w:r>
        <w:rPr>
          <w:rFonts w:ascii="Times New Roman" w:hAnsi="Times New Roman"/>
          <w:b w:val="false"/>
          <w:i w:val="false"/>
          <w:color w:val="000000"/>
          <w:sz w:val="21"/>
        </w:rPr>
        <w:t xml:space="preserve"> (Notice ARC 5384C,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5942C</w:t>
      </w:r>
      <w:r>
        <w:rPr>
          <w:rFonts w:ascii="Times New Roman" w:hAnsi="Times New Roman"/>
          <w:b w:val="false"/>
          <w:i w:val="false"/>
          <w:color w:val="000000"/>
          <w:sz w:val="21"/>
        </w:rPr>
        <w:t xml:space="preserve"> (Notice ARC 5804C, IAB 7/28/21)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6307C</w:t>
      </w:r>
      <w:r>
        <w:rPr>
          <w:rFonts w:ascii="Times New Roman" w:hAnsi="Times New Roman"/>
          <w:b w:val="false"/>
          <w:i w:val="false"/>
          <w:color w:val="000000"/>
          <w:sz w:val="21"/>
        </w:rPr>
        <w:t xml:space="preserve"> (Notice ARC 6207C, IAB 2/23/22)</w:t>
      </w:r>
      <w:r>
        <w:rPr>
          <w:rFonts w:ascii="Times New Roman" w:hAnsi="Times New Roman"/>
          <w:b w:val="false"/>
          <w:i w:val="false"/>
          <w:color w:val="000000"/>
          <w:sz w:val="21"/>
        </w:rPr>
        <w:t>, IAB 5/4/22, effective 6/8/22]</w:t>
      </w:r>
    </w:p>
    <w:p>
      <w:pPr>
        <w:spacing w:before="0" w:after="0"/>
        <w:ind w:left="120"/>
        <w:jc w:val="center"/>
      </w:pPr>
      <w:r>
        <w:rPr>
          <w:rFonts w:ascii="Times New Roman" w:hAnsi="Times New Roman"/>
          <w:b w:val="false"/>
          <w:i w:val="false"/>
          <w:color w:val="000000"/>
          <w:sz w:val="21"/>
        </w:rPr>
        <w:t>[Filed ARC 6617C</w:t>
      </w:r>
      <w:r>
        <w:rPr>
          <w:rFonts w:ascii="Times New Roman" w:hAnsi="Times New Roman"/>
          <w:b w:val="false"/>
          <w:i w:val="false"/>
          <w:color w:val="000000"/>
          <w:sz w:val="21"/>
        </w:rPr>
        <w:t xml:space="preserve"> (Notice ARC 6466C, IAB 8/10/22)</w:t>
      </w:r>
      <w:r>
        <w:rPr>
          <w:rFonts w:ascii="Times New Roman" w:hAnsi="Times New Roman"/>
          <w:b w:val="false"/>
          <w:i w:val="false"/>
          <w:color w:val="000000"/>
          <w:sz w:val="21"/>
        </w:rPr>
        <w:t>, IAB 11/2/22, effective 12/7/22]</w:t>
      </w:r>
    </w:p>
    <w:p>
      <w:pPr>
        <w:spacing w:before="0" w:after="0"/>
        <w:ind w:left="120"/>
        <w:jc w:val="center"/>
      </w:pPr>
      <w:r>
        <w:rPr>
          <w:rFonts w:ascii="Times New Roman" w:hAnsi="Times New Roman"/>
          <w:b w:val="false"/>
          <w:i w:val="false"/>
          <w:color w:val="000000"/>
          <w:sz w:val="21"/>
        </w:rPr>
        <w:t>[Filed ARC 6969C</w:t>
      </w:r>
      <w:r>
        <w:rPr>
          <w:rFonts w:ascii="Times New Roman" w:hAnsi="Times New Roman"/>
          <w:b w:val="false"/>
          <w:i w:val="false"/>
          <w:color w:val="000000"/>
          <w:sz w:val="21"/>
        </w:rPr>
        <w:t xml:space="preserve"> (Notice ARC 6821C,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[Editorial change: IAC Supplement 11/29/23]</w:t>
      </w:r>
    </w:p>
    <w:p>
      <w:pPr>
        <w:pBdr>
          <w:bottom w:space="2"/>
        </w:pBdr>
        <w:spacing w:before="0" w:after="0"/>
        <w:ind w:left="120"/>
        <w:jc w:val="both"/>
      </w:pPr>
      <w:r>
        <w:rPr>
          <w:rFonts w:ascii="Times New Roman" w:hAnsi="Times New Roman"/>
          <w:b w:val="false"/>
          <w:i w:val="false"/>
          <w:color w:val="000000"/>
          <w:sz w:val="22"/>
        </w:rPr>
        <w:t>Effective date of December 29, 1993, for 761—605.26(2)</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delayed 70 days by the Administrative Rules Review Committee at its meeting held December 15, 1993; delay lifted by this Committee on January 5, 1994, effective January 6, 1994.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61.607.pdf" Type="http://schemas.openxmlformats.org/officeDocument/2006/relationships/hyperlink" Id="rId5"/>
    <Relationship TargetMode="External" Target="https://www.legis.iowa.gov/docs/ico/chapter/321.174.pdf" Type="http://schemas.openxmlformats.org/officeDocument/2006/relationships/hyperlink" Id="rId6"/>
    <Relationship TargetMode="External" Target="https://www.legis.iowa.gov/docs/ico/chapter/321.1.pdf" Type="http://schemas.openxmlformats.org/officeDocument/2006/relationships/hyperlink" Id="rId7"/>
    <Relationship TargetMode="External" Target="https://www.legis.iowa.gov/docs/ico/chapter/321.1.pdf" Type="http://schemas.openxmlformats.org/officeDocument/2006/relationships/hyperlink" Id="rId8"/>
    <Relationship TargetMode="External" Target="https://www.legis.iowa.gov/docs/ico/chapter/148.pdf" Type="http://schemas.openxmlformats.org/officeDocument/2006/relationships/hyperlink" Id="rId9"/>
    <Relationship TargetMode="External" Target="https://www.legis.iowa.gov/docs/ico/chapter/152.pdf" Type="http://schemas.openxmlformats.org/officeDocument/2006/relationships/hyperlink" Id="rId10"/>
    <Relationship TargetMode="External" Target="https://www.legis.iowa.gov/docs/ico/chapter/148C.pdf" Type="http://schemas.openxmlformats.org/officeDocument/2006/relationships/hyperlink" Id="rId11"/>
    <Relationship TargetMode="External" Target="https://www.legis.iowa.gov/docs/ico/chapter/321.1.pdf" Type="http://schemas.openxmlformats.org/officeDocument/2006/relationships/hyperlink" Id="rId12"/>
    <Relationship TargetMode="External" Target="https://www.legis.iowa.gov/docs/ico/chapter/321.176.pdf" Type="http://schemas.openxmlformats.org/officeDocument/2006/relationships/hyperlink" Id="rId13"/>
    <Relationship TargetMode="External" Target="https://www.legis.iowa.gov/docs/iac/rule/761.321.176.pdf" Type="http://schemas.openxmlformats.org/officeDocument/2006/relationships/hyperlink" Id="rId14"/>
    <Relationship TargetMode="External" Target="https://www.legis.iowa.gov/docs/ico/chapter/321.176.pdf" Type="http://schemas.openxmlformats.org/officeDocument/2006/relationships/hyperlink" Id="rId15"/>
    <Relationship TargetMode="External" Target="https://www.legis.iowa.gov/docs/iac/chapter/761.604.pdf" Type="http://schemas.openxmlformats.org/officeDocument/2006/relationships/hyperlink" Id="rId16"/>
    <Relationship TargetMode="External" Target="https://www.legis.iowa.gov/docs/iac/chapter/761.607.pdf" Type="http://schemas.openxmlformats.org/officeDocument/2006/relationships/hyperlink" Id="rId17"/>
    <Relationship TargetMode="External" Target="https://www.legis.iowa.gov/docs/ico/chapter/229.pdf" Type="http://schemas.openxmlformats.org/officeDocument/2006/relationships/hyperlink" Id="rId18"/>
    <Relationship TargetMode="External" Target="https://www.legis.iowa.gov/docs/iac/rule/761.615.14.pdf" Type="http://schemas.openxmlformats.org/officeDocument/2006/relationships/hyperlink" Id="rId19"/>
    <Relationship TargetMode="External" Target="https://www.legis.iowa.gov/docs/iac/rule/761.615.4.pdf" Type="http://schemas.openxmlformats.org/officeDocument/2006/relationships/hyperlink" Id="rId20"/>
    <Relationship TargetMode="External" Target="https://www.legis.iowa.gov/docs/ico/chapter/252J.9.pdf" Type="http://schemas.openxmlformats.org/officeDocument/2006/relationships/hyperlink" Id="rId21"/>
    <Relationship TargetMode="External" Target="https://www.legis.iowa.gov/docs/ico/chapter/252J.8.pdf" Type="http://schemas.openxmlformats.org/officeDocument/2006/relationships/hyperlink" Id="rId22"/>
    <Relationship TargetMode="External" Target="https://www.legis.iowa.gov/docs/ico/chapter/252J.9.pdf" Type="http://schemas.openxmlformats.org/officeDocument/2006/relationships/hyperlink" Id="rId23"/>
    <Relationship TargetMode="External" Target="https://www.legis.iowa.gov/docs/ico/chapter/321.13.pdf" Type="http://schemas.openxmlformats.org/officeDocument/2006/relationships/hyperlink" Id="rId24"/>
    <Relationship TargetMode="External" Target="https://www.legis.iowa.gov/docs/ico/chapter/321.177.pdf" Type="http://schemas.openxmlformats.org/officeDocument/2006/relationships/hyperlink" Id="rId25"/>
    <Relationship TargetMode="External" Target="https://www.legis.iowa.gov/docs/ico/chapter/321.186.pdf" Type="http://schemas.openxmlformats.org/officeDocument/2006/relationships/hyperlink" Id="rId26"/>
    <Relationship TargetMode="External" Target="https://www.legis.iowa.gov/docs/ico/chapter/321.193.pdf" Type="http://schemas.openxmlformats.org/officeDocument/2006/relationships/hyperlink" Id="rId27"/>
    <Relationship TargetMode="External" Target="https://www.legis.iowa.gov/docs/ico/chapter/321.210.pdf" Type="http://schemas.openxmlformats.org/officeDocument/2006/relationships/hyperlink" Id="rId28"/>
    <Relationship TargetMode="External" Target="https://www.legis.iowa.gov/docs/ico/chapter/321.212.pdf" Type="http://schemas.openxmlformats.org/officeDocument/2006/relationships/hyperlink" Id="rId29"/>
    <Relationship TargetMode="External" Target="https://www.legis.iowa.gov/docs/ico/chapter/321.189.pdf" Type="http://schemas.openxmlformats.org/officeDocument/2006/relationships/hyperlink" Id="rId30"/>
    <Relationship TargetMode="External" Target="https://www.legis.iowa.gov/docs/iac/rule/761.601.5.pdf" Type="http://schemas.openxmlformats.org/officeDocument/2006/relationships/hyperlink" Id="rId31"/>
    <Relationship TargetMode="External" Target="https://www.legis.iowa.gov/docs/iac/rule/761.601.5.pdf" Type="http://schemas.openxmlformats.org/officeDocument/2006/relationships/hyperlink" Id="rId32"/>
    <Relationship TargetMode="External" Target="https://www.legis.iowa.gov/docs/iac/rule/761.601.1.pdf" Type="http://schemas.openxmlformats.org/officeDocument/2006/relationships/hyperlink" Id="rId33"/>
    <Relationship TargetMode="External" Target="https://www.legis.iowa.gov/docs/iac/rule/761.601.1.pdf" Type="http://schemas.openxmlformats.org/officeDocument/2006/relationships/hyperlink" Id="rId34"/>
    <Relationship TargetMode="External" Target="https://www.legis.iowa.gov/docs/iac/rule/761.601.5.pdf" Type="http://schemas.openxmlformats.org/officeDocument/2006/relationships/hyperlink" Id="rId35"/>
    <Relationship TargetMode="External" Target="https://www.legis.iowa.gov/docs/iac/rule/761.601.1.pdf" Type="http://schemas.openxmlformats.org/officeDocument/2006/relationships/hyperlink" Id="rId36"/>
    <Relationship TargetMode="External" Target="https://www.legis.iowa.gov/docs/iac/rule/761.601.5.pdf" Type="http://schemas.openxmlformats.org/officeDocument/2006/relationships/hyperlink" Id="rId37"/>
    <Relationship TargetMode="External" Target="https://www.legis.iowa.gov/docs/iac/rule/761.601.5.pdf" Type="http://schemas.openxmlformats.org/officeDocument/2006/relationships/hyperlink" Id="rId38"/>
    <Relationship TargetMode="External" Target="https://www.legis.iowa.gov/docs/iac/rule/761.601.5.pdf" Type="http://schemas.openxmlformats.org/officeDocument/2006/relationships/hyperlink" Id="rId39"/>
    <Relationship TargetMode="External" Target="https://www.legis.iowa.gov/docs/iac/rule/761.601.7.pdf" Type="http://schemas.openxmlformats.org/officeDocument/2006/relationships/hyperlink" Id="rId40"/>
    <Relationship TargetMode="External" Target="https://www.legis.iowa.gov/docs/iac/rule/761.601.7.pdf" Type="http://schemas.openxmlformats.org/officeDocument/2006/relationships/hyperlink" Id="rId41"/>
    <Relationship TargetMode="External" Target="https://www.legis.iowa.gov/docs/ico/chapter/142C.3.pdf" Type="http://schemas.openxmlformats.org/officeDocument/2006/relationships/hyperlink" Id="rId42"/>
    <Relationship TargetMode="External" Target="https://www.legis.iowa.gov/docs/ico/chapter/321.189.pdf" Type="http://schemas.openxmlformats.org/officeDocument/2006/relationships/hyperlink" Id="rId43"/>
    <Relationship TargetMode="External" Target="https://www.legis.iowa.gov/docs/ico/chapter/321.189.pdf" Type="http://schemas.openxmlformats.org/officeDocument/2006/relationships/hyperlink" Id="rId44"/>
    <Relationship TargetMode="External" Target="https://www.legis.iowa.gov/docs/ico/chapter/321.1.pdf" Type="http://schemas.openxmlformats.org/officeDocument/2006/relationships/hyperlink" Id="rId45"/>
    <Relationship TargetMode="External" Target="https://www.legis.iowa.gov/docs/ico/chapter/321.180.pdf" Type="http://schemas.openxmlformats.org/officeDocument/2006/relationships/hyperlink" Id="rId46"/>
    <Relationship TargetMode="External" Target="https://www.legis.iowa.gov/docs/ico/chapter/321.189.pdf" Type="http://schemas.openxmlformats.org/officeDocument/2006/relationships/hyperlink" Id="rId47"/>
    <Relationship TargetMode="External" Target="https://www.legis.iowa.gov/docs/iac/rule/761.605.4.pdf" Type="http://schemas.openxmlformats.org/officeDocument/2006/relationships/hyperlink" Id="rId48"/>
    <Relationship TargetMode="External" Target="https://www.legis.iowa.gov/docs/ico/chapter/321A.pdf" Type="http://schemas.openxmlformats.org/officeDocument/2006/relationships/hyperlink" Id="rId49"/>
    <Relationship TargetMode="External" Target="https://www.legis.iowa.gov/docs/iac/chapter/761.604.pdf" Type="http://schemas.openxmlformats.org/officeDocument/2006/relationships/hyperlink" Id="rId50"/>
    <Relationship TargetMode="External" Target="https://www.legis.iowa.gov/docs/ico/chapter/321A.pdf" Type="http://schemas.openxmlformats.org/officeDocument/2006/relationships/hyperlink" Id="rId51"/>
    <Relationship TargetMode="External" Target="https://www.legis.iowa.gov/docs/ico/chapter/321.177.pdf" Type="http://schemas.openxmlformats.org/officeDocument/2006/relationships/hyperlink" Id="rId52"/>
    <Relationship TargetMode="External" Target="https://www.legis.iowa.gov/docs/ico/chapter/321.178.pdf" Type="http://schemas.openxmlformats.org/officeDocument/2006/relationships/hyperlink" Id="rId53"/>
    <Relationship TargetMode="External" Target="https://www.legis.iowa.gov/docs/ico/chapter/321.180.pdf" Type="http://schemas.openxmlformats.org/officeDocument/2006/relationships/hyperlink" Id="rId54"/>
    <Relationship TargetMode="External" Target="https://www.legis.iowa.gov/docs/ico/chapter/321.180A.pdf" Type="http://schemas.openxmlformats.org/officeDocument/2006/relationships/hyperlink" Id="rId55"/>
    <Relationship TargetMode="External" Target="https://www.legis.iowa.gov/docs/ico/chapter/321.180B.pdf" Type="http://schemas.openxmlformats.org/officeDocument/2006/relationships/hyperlink" Id="rId56"/>
    <Relationship TargetMode="External" Target="https://www.legis.iowa.gov/docs/ico/chapter/321.186.pdf" Type="http://schemas.openxmlformats.org/officeDocument/2006/relationships/hyperlink" Id="rId57"/>
    <Relationship TargetMode="External" Target="https://www.legis.iowa.gov/docs/ico/chapter/321.188.pdf" Type="http://schemas.openxmlformats.org/officeDocument/2006/relationships/hyperlink" Id="rId58"/>
    <Relationship TargetMode="External" Target="https://www.legis.iowa.gov/docs/ico/chapter/321.189.pdf" Type="http://schemas.openxmlformats.org/officeDocument/2006/relationships/hyperlink" Id="rId59"/>
    <Relationship TargetMode="External" Target="https://www.legis.iowa.gov/docs/ico/chapter/321.193.pdf" Type="http://schemas.openxmlformats.org/officeDocument/2006/relationships/hyperlink" Id="rId60"/>
    <Relationship TargetMode="External" Target="https://www.legis.iowa.gov/docs/ico/chapter/321.194.pdf" Type="http://schemas.openxmlformats.org/officeDocument/2006/relationships/hyperlink" Id="rId61"/>
    <Relationship TargetMode="External" Target="https://www.legis.iowa.gov/docs/ico/chapter/321.215.pdf" Type="http://schemas.openxmlformats.org/officeDocument/2006/relationships/hyperlink" Id="rId62"/>
    <Relationship TargetMode="External" Target="https://www.legis.iowa.gov/docs/ico/chapter/321J.4.pdf" Type="http://schemas.openxmlformats.org/officeDocument/2006/relationships/hyperlink" Id="rId63"/>
    <Relationship TargetMode="External" Target="https://www.legis.iowa.gov/docs/ico/chapter/321J.20.pdf" Type="http://schemas.openxmlformats.org/officeDocument/2006/relationships/hyperlink" Id="rId64"/>
    <Relationship TargetMode="External" Target="https://www.legis.iowa.gov/docs/ico/chapter/321.196.pdf" Type="http://schemas.openxmlformats.org/officeDocument/2006/relationships/hyperlink" Id="rId65"/>
    <Relationship TargetMode="External" Target="https://www.legis.iowa.gov/docs/ico/chapter/321.191.pdf" Type="http://schemas.openxmlformats.org/officeDocument/2006/relationships/hyperlink" Id="rId66"/>
    <Relationship TargetMode="External" Target="https://www.legis.iowa.gov/docs/ico/chapter/321.191.pdf" Type="http://schemas.openxmlformats.org/officeDocument/2006/relationships/hyperlink" Id="rId67"/>
    <Relationship TargetMode="External" Target="https://www.legis.iowa.gov/docs/iac/rule/761.605.10.pdf" Type="http://schemas.openxmlformats.org/officeDocument/2006/relationships/hyperlink" Id="rId68"/>
    <Relationship TargetMode="External" Target="https://www.legis.iowa.gov/docs/iac/rule/761.604.10.pdf" Type="http://schemas.openxmlformats.org/officeDocument/2006/relationships/hyperlink" Id="rId69"/>
    <Relationship TargetMode="External" Target="https://www.legis.iowa.gov/docs/iac/rule/761.605.10.pdf" Type="http://schemas.openxmlformats.org/officeDocument/2006/relationships/hyperlink" Id="rId70"/>
    <Relationship TargetMode="External" Target="https://www.legis.iowa.gov/docs/iac/rule/761.604.10.pdf" Type="http://schemas.openxmlformats.org/officeDocument/2006/relationships/hyperlink" Id="rId71"/>
    <Relationship TargetMode="External" Target="https://www.legis.iowa.gov/docs/iac/rule/761.605.25.pdf" Type="http://schemas.openxmlformats.org/officeDocument/2006/relationships/hyperlink" Id="rId72"/>
    <Relationship TargetMode="External" Target="https://www.legis.iowa.gov/docs/iac/rule/761.605.25.pdf" Type="http://schemas.openxmlformats.org/officeDocument/2006/relationships/hyperlink" Id="rId73"/>
    <Relationship TargetMode="External" Target="https://www.legis.iowa.gov/docs/iac/rule/761.605.10.pdf" Type="http://schemas.openxmlformats.org/officeDocument/2006/relationships/hyperlink" Id="rId74"/>
    <Relationship TargetMode="External" Target="https://www.legis.iowa.gov/docs/iac/rule/761.605.25.pdf" Type="http://schemas.openxmlformats.org/officeDocument/2006/relationships/hyperlink" Id="rId75"/>
    <Relationship TargetMode="External" Target="https://www.legis.iowa.gov/docs/iac/rule/761.605.25.pdf" Type="http://schemas.openxmlformats.org/officeDocument/2006/relationships/hyperlink" Id="rId76"/>
    <Relationship TargetMode="External" Target="https://www.legis.iowa.gov/docs/ico/chapter/321.191.pdf" Type="http://schemas.openxmlformats.org/officeDocument/2006/relationships/hyperlink" Id="rId77"/>
    <Relationship TargetMode="External" Target="https://www.legis.iowa.gov/docs/iac/rule/761.601.5.pdf" Type="http://schemas.openxmlformats.org/officeDocument/2006/relationships/hyperlink" Id="rId78"/>
    <Relationship TargetMode="External" Target="https://www.legis.iowa.gov/docs/iac/rule/761.605.11.pdf" Type="http://schemas.openxmlformats.org/officeDocument/2006/relationships/hyperlink" Id="rId79"/>
    <Relationship TargetMode="External" Target="https://www.legis.iowa.gov/docs/iac/rule/761.601.5.pdf" Type="http://schemas.openxmlformats.org/officeDocument/2006/relationships/hyperlink" Id="rId80"/>
    <Relationship TargetMode="External" Target="https://www.legis.iowa.gov/docs/iac/rule/761.601.5.pdf" Type="http://schemas.openxmlformats.org/officeDocument/2006/relationships/hyperlink" Id="rId81"/>
    <Relationship TargetMode="External" Target="https://www.legis.iowa.gov/docs/iac/rule/761.601.5.pdf" Type="http://schemas.openxmlformats.org/officeDocument/2006/relationships/hyperlink" Id="rId82"/>
    <Relationship TargetMode="External" Target="https://www.legis.iowa.gov/docs/iac/rule/761.601.5.pdf" Type="http://schemas.openxmlformats.org/officeDocument/2006/relationships/hyperlink" Id="rId83"/>
    <Relationship TargetMode="External" Target="https://www.legis.iowa.gov/docs/iac/rule/761.605.5.pdf" Type="http://schemas.openxmlformats.org/officeDocument/2006/relationships/hyperlink" Id="rId84"/>
    <Relationship TargetMode="External" Target="https://www.legis.iowa.gov/docs/iac/rule/761.605.25.pdf" Type="http://schemas.openxmlformats.org/officeDocument/2006/relationships/hyperlink" Id="rId85"/>
    <Relationship TargetMode="External" Target="https://www.legis.iowa.gov/docs/iac/rule/761.605.25.pdf" Type="http://schemas.openxmlformats.org/officeDocument/2006/relationships/hyperlink" Id="rId86"/>
    <Relationship TargetMode="External" Target="https://www.legis.iowa.gov/docs/iac/rule/761.605.25.pdf" Type="http://schemas.openxmlformats.org/officeDocument/2006/relationships/hyperlink" Id="rId87"/>
    <Relationship TargetMode="External" Target="https://www.legis.iowa.gov/docs/iac/rule/761.605.25.pdf" Type="http://schemas.openxmlformats.org/officeDocument/2006/relationships/hyperlink" Id="rId88"/>
    <Relationship TargetMode="External" Target="https://www.legis.iowa.gov/docs/ico/chapter/321.189.pdf" Type="http://schemas.openxmlformats.org/officeDocument/2006/relationships/hyperlink" Id="rId89"/>
    <Relationship TargetMode="External" Target="https://www.legis.iowa.gov/docs/ico/chapter/321.13.pdf" Type="http://schemas.openxmlformats.org/officeDocument/2006/relationships/hyperlink" Id="rId90"/>
    <Relationship TargetMode="External" Target="https://www.legis.iowa.gov/docs/ico/chapter/321.189.pdf" Type="http://schemas.openxmlformats.org/officeDocument/2006/relationships/hyperlink" Id="rId91"/>
    <Relationship TargetMode="External" Target="https://www.legis.iowa.gov/docs/ico/chapter/321.195.pdf" Type="http://schemas.openxmlformats.org/officeDocument/2006/relationships/hyperlink" Id="rId92"/>
    <Relationship TargetMode="External" Target="https://www.legis.iowa.gov/docs/ico/chapter/321.208.pdf" Type="http://schemas.openxmlformats.org/officeDocument/2006/relationships/hyperlink" Id="rId93"/>
    <Relationship TargetMode="External" Target="http://www.iowadot.gov" Type="http://schemas.openxmlformats.org/officeDocument/2006/relationships/hyperlink" Id="rId94"/>
    <Relationship TargetMode="External" Target="https://www.legis.iowa.gov/docs/ico/chapter/321.182.pdf" Type="http://schemas.openxmlformats.org/officeDocument/2006/relationships/hyperlink" Id="rId95"/>
    <Relationship TargetMode="External" Target="https://www.legis.iowa.gov/docs/ico/chapter/321.184.pdf" Type="http://schemas.openxmlformats.org/officeDocument/2006/relationships/hyperlink" Id="rId96"/>
    <Relationship TargetMode="External" Target="https://www.legis.iowa.gov/docs/ico/chapter/321.196.pdf" Type="http://schemas.openxmlformats.org/officeDocument/2006/relationships/hyperlink" Id="rId97"/>
    <Relationship TargetMode="External" Target="https://www.legis.iowa.gov/docs/ico/chapter/321.198.pdf" Type="http://schemas.openxmlformats.org/officeDocument/2006/relationships/hyperlink" Id="rId98"/>
    <Relationship TargetMode="External" Target="https://www.legis.iowa.gov/docs/ico/chapter/321.198.pdf" Type="http://schemas.openxmlformats.org/officeDocument/2006/relationships/hyperlink" Id="rId99"/>
    <Relationship TargetMode="External" Target="https://www.legis.iowa.gov/docs/ico/chapter/321.198.pdf" Type="http://schemas.openxmlformats.org/officeDocument/2006/relationships/hyperlink" Id="rId100"/>
    <Relationship TargetMode="External" Target="https://www.legis.iowa.gov/docs/iac/rule/761.604.21.pdf" Type="http://schemas.openxmlformats.org/officeDocument/2006/relationships/hyperlink" Id="rId101"/>
    <Relationship TargetMode="External" Target="https://www.legis.iowa.gov/docs/iac/rule/761.607.27.pdf" Type="http://schemas.openxmlformats.org/officeDocument/2006/relationships/hyperlink" Id="rId102"/>
    <Relationship TargetMode="External" Target="https://www.legis.iowa.gov/docs/iac/rule/761.607.28.pdf" Type="http://schemas.openxmlformats.org/officeDocument/2006/relationships/hyperlink" Id="rId103"/>
    <Relationship TargetMode="External" Target="https://www.legis.iowa.gov/docs/iac/rule/761.615.40.pdf" Type="http://schemas.openxmlformats.org/officeDocument/2006/relationships/hyperlink" Id="rId104"/>
    <Relationship TargetMode="External" Target="https://www.legis.iowa.gov/docs/ico/chapter/321.198.pdf" Type="http://schemas.openxmlformats.org/officeDocument/2006/relationships/hyperlink" Id="rId105"/>
    <Relationship TargetMode="External" Target="https://www.legis.iowa.gov/docs/ico/chapter/321.189.pdf" Type="http://schemas.openxmlformats.org/officeDocument/2006/relationships/hyperlink" Id="rId106"/>
    <Relationship TargetMode="External" Target="https://www.legis.iowa.gov/docs/ico/chapter/321.191.pdf" Type="http://schemas.openxmlformats.org/officeDocument/2006/relationships/hyperlink" Id="rId107"/>
    <Relationship TargetMode="External" Target="https://www.legis.iowa.gov/docs/iac/rule/761.601.7.pdf" Type="http://schemas.openxmlformats.org/officeDocument/2006/relationships/hyperlink" Id="rId108"/>
    <Relationship TargetMode="External" Target="https://www.legis.iowa.gov/docs/iac/rule/761.601.5.pdf" Type="http://schemas.openxmlformats.org/officeDocument/2006/relationships/hyperlink" Id="rId109"/>
    <Relationship TargetMode="External" Target="https://www.legis.iowa.gov/docs/iac/rule/761.601.5.pdf" Type="http://schemas.openxmlformats.org/officeDocument/2006/relationships/hyperlink" Id="rId110"/>
    <Relationship TargetMode="External" Target="https://www.legis.iowa.gov/docs/iac/rule/761.601.5.pdf" Type="http://schemas.openxmlformats.org/officeDocument/2006/relationships/hyperlink" Id="rId111"/>
    <Relationship TargetMode="External" Target="https://www.legis.iowa.gov/docs/iac/rule/761.601.5.pdf" Type="http://schemas.openxmlformats.org/officeDocument/2006/relationships/hyperlink" Id="rId112"/>
    <Relationship TargetMode="External" Target="https://www.legis.iowa.gov/docs/iac/rule/761.601.5.pdf" Type="http://schemas.openxmlformats.org/officeDocument/2006/relationships/hyperlink" Id="rId113"/>
    <Relationship TargetMode="External" Target="https://www.legis.iowa.gov/docs/iac/rule/761.604.10.pdf" Type="http://schemas.openxmlformats.org/officeDocument/2006/relationships/hyperlink" Id="rId114"/>
    <Relationship TargetMode="External" Target="https://www.legis.iowa.gov/docs/iac/rule/761.604.10.pdf" Type="http://schemas.openxmlformats.org/officeDocument/2006/relationships/hyperlink" Id="rId115"/>
    <Relationship TargetMode="External" Target="https://www.legis.iowa.gov/docs/iac/rule/761.605.25.pdf" Type="http://schemas.openxmlformats.org/officeDocument/2006/relationships/hyperlink" Id="rId116"/>
    <Relationship TargetMode="External" Target="https://www.legis.iowa.gov/docs/iac/rule/761.605.25.pdf" Type="http://schemas.openxmlformats.org/officeDocument/2006/relationships/hyperlink" Id="rId117"/>
    <Relationship TargetMode="External" Target="https://www.legis.iowa.gov/docs/iac/rule/761.605.25.pdf" Type="http://schemas.openxmlformats.org/officeDocument/2006/relationships/hyperlink" Id="rId118"/>
    <Relationship TargetMode="External" Target="https://www.legis.iowa.gov/docs/ico/chapter/321.180.pdf" Type="http://schemas.openxmlformats.org/officeDocument/2006/relationships/hyperlink" Id="rId119"/>
    <Relationship TargetMode="External" Target="https://www.legis.iowa.gov/docs/iac/rule/761.607.50.pdf" Type="http://schemas.openxmlformats.org/officeDocument/2006/relationships/hyperlink" Id="rId120"/>
    <Relationship TargetMode="External" Target="https://www.legis.iowa.gov/docs/iac/rule/761.605.25.pdf" Type="http://schemas.openxmlformats.org/officeDocument/2006/relationships/hyperlink" Id="rId121"/>
    <Relationship TargetMode="External" Target="https://www.legis.iowa.gov/docs/iac/rule/761.605.25.pdf" Type="http://schemas.openxmlformats.org/officeDocument/2006/relationships/hyperlink" Id="rId122"/>
    <Relationship TargetMode="External" Target="https://www.legis.iowa.gov/docs/ico/chapter/321.186.pdf" Type="http://schemas.openxmlformats.org/officeDocument/2006/relationships/hyperlink" Id="rId123"/>
    <Relationship TargetMode="External" Target="https://www.legis.iowa.gov/docs/ico/chapter/321.188.pdf" Type="http://schemas.openxmlformats.org/officeDocument/2006/relationships/hyperlink" Id="rId124"/>
    <Relationship TargetMode="External" Target="https://www.legis.iowa.gov/docs/ico/chapter/321.196.pdf" Type="http://schemas.openxmlformats.org/officeDocument/2006/relationships/hyperlink" Id="rId125"/>
    <Relationship TargetMode="External" Target="https://www.legis.iowa.gov/docs/ico/chapter/321.180B.pdf" Type="http://schemas.openxmlformats.org/officeDocument/2006/relationships/hyperlink" Id="rId126"/>
    <Relationship TargetMode="External" Target="https://www.legis.iowa.gov/docs/iac/rule/761.605.25.pdf" Type="http://schemas.openxmlformats.org/officeDocument/2006/relationships/hyperlink" Id="rId127"/>
    <Relationship TargetMode="External" Target="https://www.legis.iowa.gov/docs/iac/rule/761.605.25.pdf" Type="http://schemas.openxmlformats.org/officeDocument/2006/relationships/hyperlink" Id="rId128"/>
    <Relationship TargetMode="External" Target="https://www.legis.iowa.gov/docs/iac/rule/761.605.25.pdf" Type="http://schemas.openxmlformats.org/officeDocument/2006/relationships/hyperlink" Id="rId129"/>
    <Relationship TargetMode="External" Target="https://www.legis.iowa.gov/docs/ico/chapter/321.180B.pdf" Type="http://schemas.openxmlformats.org/officeDocument/2006/relationships/hyperlink" Id="rId130"/>
    <Relationship TargetMode="External" Target="https://www.legis.iowa.gov/docs/ico/chapter/321.194.pdf" Type="http://schemas.openxmlformats.org/officeDocument/2006/relationships/hyperlink" Id="rId131"/>
    <Relationship TargetMode="External" Target="https://www.legis.iowa.gov/docs/ico/chapter/321.180B.pdf" Type="http://schemas.openxmlformats.org/officeDocument/2006/relationships/hyperlink" Id="rId132"/>
    <Relationship TargetMode="External" Target="https://www.legis.iowa.gov/docs/ico/chapter/321.194.pdf" Type="http://schemas.openxmlformats.org/officeDocument/2006/relationships/hyperlink" Id="rId133"/>
    <Relationship TargetMode="External" Target="https://www.legis.iowa.gov/docs/iac/rule/761.605.25.pdf" Type="http://schemas.openxmlformats.org/officeDocument/2006/relationships/hyperlink" Id="rId134"/>
    <Relationship TargetMode="External" Target="https://www.legis.iowa.gov/docs/iac/rule/761.605.25.pdf" Type="http://schemas.openxmlformats.org/officeDocument/2006/relationships/hyperlink" Id="rId135"/>
    <Relationship TargetMode="External" Target="https://www.legis.iowa.gov/docs/ico/chapter/321.180B.pdf" Type="http://schemas.openxmlformats.org/officeDocument/2006/relationships/hyperlink" Id="rId136"/>
    <Relationship TargetMode="External" Target="https://www.legis.iowa.gov/docs/ico/chapter/321.194.pdf" Type="http://schemas.openxmlformats.org/officeDocument/2006/relationships/hyperlink" Id="rId1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