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604</w:t>
      </w:r>
    </w:p>
    <w:p>
      <w:pPr>
        <w:spacing w:before="0" w:after="0"/>
        <w:ind w:left="120"/>
        <w:jc w:val="center"/>
      </w:pPr>
      <w:r>
        <w:rPr>
          <w:rFonts w:ascii="Times New Roman" w:hAnsi="Times New Roman"/>
          <w:b w:val="false"/>
          <w:i w:val="false"/>
          <w:color w:val="000000"/>
          <w:sz w:val="21"/>
        </w:rPr>
        <w:t>LICENSE EXAMINATION</w:t>
      </w:r>
    </w:p>
    <w:p>
      <w:pPr>
        <w:spacing w:before="0" w:after="0"/>
        <w:ind w:left="120"/>
        <w:jc w:val="center"/>
      </w:pPr>
      <w:r>
        <w:rPr>
          <w:rFonts w:ascii="Times New Roman" w:hAnsi="Times New Roman"/>
          <w:b w:val="false"/>
          <w:i w:val="false"/>
          <w:color w:val="000000"/>
          <w:sz w:val="14"/>
        </w:rPr>
        <w:t>[Prior to 6/3/87, see Transportation Department[820]—(07,C)rules 13.3 and 13.17]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761—604.1</w:t>
      </w:r>
      <w:r>
        <w:rPr>
          <w:rFonts w:ascii="Times New Roman" w:hAnsi="Times New Roman"/>
          <w:b/>
          <w:i w:val="false"/>
          <w:color w:val="000000"/>
          <w:sz w:val="22"/>
        </w:rPr>
        <w:t xml:space="preserve">(321) </w:t>
      </w:r>
      <w:r>
        <w:rPr>
          <w:rFonts w:ascii="Times New Roman" w:hAnsi="Times New Roman"/>
          <w:b/>
          <w:i w:val="false"/>
          <w:color w:val="000000"/>
          <w:sz w:val="22"/>
        </w:rPr>
        <w:t xml:space="preserve">Authority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w:t>
      </w:r>
      <w:r>
        <w:rPr>
          <w:rFonts w:ascii="Times New Roman" w:hAnsi="Times New Roman"/>
          <w:b w:val="false"/>
          <w:i w:val="false"/>
          <w:color w:val="000000"/>
          <w:sz w:val="22"/>
        </w:rPr>
        <w:t> </w:t>
      </w:r>
      <w:r>
        <w:rPr>
          <w:rFonts w:ascii="Times New Roman" w:hAnsi="Times New Roman"/>
          <w:b w:val="false"/>
          <w:i w:val="false"/>
          <w:color w:val="000000"/>
          <w:sz w:val="22"/>
        </w:rPr>
        <w:t>The department is authorized to determine by examination an applicant’s ability to operate motor vehicles safely upon the highways and to issue all driver’s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of rules shall apply to the examination for all driver’s licenses. Information on the additional examination procedures and requirements for a commercial driver’s license or commercial learner’s permit is given in </w:t>
      </w:r>
      <w:hyperlink r:id="rId5">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“Binocular field of vision” </w:t>
      </w:r>
      <w:r>
        <w:rPr>
          <w:rFonts w:ascii="Times New Roman" w:hAnsi="Times New Roman"/>
          <w:b w:val="false"/>
          <w:i w:val="false"/>
          <w:color w:val="000000"/>
          <w:sz w:val="22"/>
        </w:rPr>
        <w:t>is the sum of the temporal measurements or the sum of the nasal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“Monocular field of vision” </w:t>
      </w:r>
      <w:r>
        <w:rPr>
          <w:rFonts w:ascii="Times New Roman" w:hAnsi="Times New Roman"/>
          <w:b w:val="false"/>
          <w:i w:val="false"/>
          <w:color w:val="000000"/>
          <w:sz w:val="22"/>
        </w:rPr>
        <w:t>is the sum of the temporal measurement and the nasal measurement for one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vehicle” </w:t>
      </w:r>
      <w:r>
        <w:rPr>
          <w:rFonts w:ascii="Times New Roman" w:hAnsi="Times New Roman"/>
          <w:b w:val="false"/>
          <w:i w:val="false"/>
          <w:color w:val="000000"/>
          <w:sz w:val="22"/>
        </w:rPr>
        <w:t>is a vehicle which is characteristic of and requires operating skills comparable to those vehicles that may legally be operated under the class of license or endorsement desired.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761—604.3</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and information about driver’s license examinations are available at any driver’s license service center. Assistance is also available from the motor vehicle division by mail at Motor Vehicle Division, Iowa Department of Transportation, P.O. Box 9204, Des Moines, Iowa 50306-9204; in person at 6310 SE Convenience Blvd., Ankeny, Iowa; by telephone at (515)244-8725; by facsimile at (515)239-1837; or on the department’s website at </w:t>
      </w:r>
      <w:hyperlink r:id="rId13">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Driver Manual” and the “Iowa Motorcycle Operator Manual” are also available from the department and on the department’s website at </w:t>
      </w:r>
      <w:hyperlink r:id="rId1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761—604.4</w:t>
      </w:r>
      <w:r>
        <w:rPr>
          <w:rFonts w:ascii="Times New Roman" w:hAnsi="Times New Roman"/>
          <w:b w:val="false"/>
          <w:i w:val="false"/>
          <w:color w:val="000000"/>
          <w:sz w:val="22"/>
        </w:rPr>
        <w:t xml:space="preserve"> to </w:t>
      </w:r>
      <w:r>
        <w:rPr>
          <w:rFonts w:ascii="Times New Roman" w:hAnsi="Times New Roman"/>
          <w:b/>
          <w:i w:val="false"/>
          <w:color w:val="000000"/>
          <w:sz w:val="22"/>
        </w:rPr>
        <w:t>604.6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761—604.7</w:t>
      </w:r>
      <w:r>
        <w:rPr>
          <w:rFonts w:ascii="Times New Roman" w:hAnsi="Times New Roman"/>
          <w:b/>
          <w:i w:val="false"/>
          <w:color w:val="000000"/>
          <w:sz w:val="22"/>
        </w:rPr>
        <w:t xml:space="preserve">(321) </w:t>
      </w:r>
      <w:r>
        <w:rPr>
          <w:rFonts w:ascii="Times New Roman" w:hAnsi="Times New Roman"/>
          <w:b/>
          <w:i w:val="false"/>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604.7(1)</w:t>
      </w:r>
      <w:r>
        <w:rPr>
          <w:rFonts w:ascii="Times New Roman" w:hAnsi="Times New Roman"/>
          <w:b w:val="false"/>
          <w:i w:val="false"/>
          <w:color w:val="000000"/>
          <w:sz w:val="22"/>
        </w:rPr>
        <w:t> </w:t>
      </w:r>
      <w:r>
        <w:rPr>
          <w:rFonts w:ascii="Times New Roman" w:hAnsi="Times New Roman"/>
          <w:b w:val="false"/>
          <w:i w:val="false"/>
          <w:color w:val="000000"/>
          <w:sz w:val="22"/>
        </w:rPr>
        <w:t>An examination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vision screening if the person has not filed a vision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knowledge test of Iowa traffic laws and highway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driving test of the person’s ability to operate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604.7(2)</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for a driver’s license depends upon the class of license requested, applicable endorsements, and the qualifications of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761—604.8</w:t>
      </w:r>
      <w:r>
        <w:rPr>
          <w:rFonts w:ascii="Times New Roman" w:hAnsi="Times New Roman"/>
          <w:b w:val="false"/>
          <w:i w:val="false"/>
          <w:color w:val="000000"/>
          <w:sz w:val="22"/>
        </w:rPr>
        <w:t xml:space="preserve"> and </w:t>
      </w:r>
      <w:r>
        <w:rPr>
          <w:rFonts w:ascii="Times New Roman" w:hAnsi="Times New Roman"/>
          <w:b/>
          <w:i w:val="false"/>
          <w:color w:val="000000"/>
          <w:sz w:val="22"/>
        </w:rPr>
        <w:t>604.9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761—604.10</w:t>
      </w:r>
      <w:r>
        <w:rPr>
          <w:rFonts w:ascii="Times New Roman" w:hAnsi="Times New Roman"/>
          <w:b/>
          <w:i w:val="false"/>
          <w:color w:val="000000"/>
          <w:sz w:val="22"/>
        </w:rPr>
        <w:t xml:space="preserve">(321) </w:t>
      </w:r>
      <w:r>
        <w:rPr>
          <w:rFonts w:ascii="Times New Roman" w:hAnsi="Times New Roman"/>
          <w:b/>
          <w:i w:val="false"/>
          <w:color w:val="000000"/>
          <w:sz w:val="22"/>
        </w:rPr>
        <w:t xml:space="preserve">Vision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Vision screening or a vision report is required of an applicant for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604.10(2)</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At driver’s license service centers, a vision screening instrument shall be used to screen the applicant’s vision. An applicant who has corrective lenses may be screened with or without the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604.10(3)</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A vision report shall be submitted on Form 430032 signed by a licensed vision specialist and shall report the person’s visual acuity level and field of vision as measured within 30 days prior to the date of the application. In lieu of Form 430032, a vision report signed by a licensed vision specialist on the specialist’s letterhead may be accepted if it contains all the information specified on Form 430032.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604.10(4)</w:t>
      </w:r>
      <w:r>
        <w:rPr>
          <w:rFonts w:ascii="Times New Roman" w:hAnsi="Times New Roman"/>
          <w:b w:val="false"/>
          <w:i w:val="false"/>
          <w:color w:val="000000"/>
          <w:sz w:val="22"/>
        </w:rPr>
        <w:t> </w:t>
      </w:r>
      <w:r>
        <w:rPr>
          <w:rFonts w:ascii="Times New Roman" w:hAnsi="Times New Roman"/>
          <w:b w:val="false"/>
          <w:i/>
          <w:color w:val="000000"/>
          <w:sz w:val="22"/>
        </w:rPr>
        <w:t xml:space="preserve">Exception for persons renewing electronically. </w:t>
      </w:r>
      <w:r>
        <w:rPr>
          <w:rFonts w:ascii="Times New Roman" w:hAnsi="Times New Roman"/>
          <w:b w:val="false"/>
          <w:i w:val="false"/>
          <w:color w:val="000000"/>
          <w:sz w:val="22"/>
        </w:rPr>
        <w:t xml:space="preserve">An applicant renewing a driver’s license electronically pursuant to </w:t>
      </w:r>
      <w:hyperlink r:id="rId18">
        <w:r>
          <w:rPr>
            <w:rStyle w:val="Hyperlink"/>
            <w:rFonts w:ascii="Times New Roman" w:hAnsi="Times New Roman"/>
            <w:b w:val="false"/>
            <w:i w:val="false"/>
            <w:color w:val="000000"/>
            <w:sz w:val="22"/>
          </w:rPr>
          <w:t>761—subrule 605.25(7)</w:t>
        </w:r>
      </w:hyperlink>
      <w:r>
        <w:rPr>
          <w:rFonts w:ascii="Times New Roman" w:hAnsi="Times New Roman"/>
          <w:b w:val="false"/>
          <w:i w:val="false"/>
          <w:color w:val="000000"/>
          <w:sz w:val="22"/>
        </w:rPr>
        <w:t xml:space="preserve"> is not required to complete a vision screen or submit a vision report to complete the renewal. This subrule does not preclude the department from requiring a vision screen or vision report of a person who has renewed a driver’s license electronically when the department has reason to believe that the person is not capable of operating a motor vehicle safely.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0895C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1073C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761—604.11</w:t>
      </w:r>
      <w:r>
        <w:rPr>
          <w:rFonts w:ascii="Times New Roman" w:hAnsi="Times New Roman"/>
          <w:b/>
          <w:i w:val="false"/>
          <w:color w:val="000000"/>
          <w:sz w:val="22"/>
        </w:rPr>
        <w:t xml:space="preserve">(321) </w:t>
      </w:r>
      <w:r>
        <w:rPr>
          <w:rFonts w:ascii="Times New Roman" w:hAnsi="Times New Roman"/>
          <w:b/>
          <w:i w:val="false"/>
          <w:color w:val="000000"/>
          <w:sz w:val="22"/>
        </w:rPr>
        <w:t xml:space="preserve">Vision standards. </w:t>
      </w:r>
      <w:r>
        <w:rPr>
          <w:rFonts w:ascii="Times New Roman" w:hAnsi="Times New Roman"/>
          <w:b w:val="false"/>
          <w:i w:val="false"/>
          <w:color w:val="000000"/>
          <w:sz w:val="22"/>
        </w:rPr>
        <w:t>The visual acuity and field of vision standards for licensing and the applicable restrictions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604.11(1)</w:t>
      </w:r>
      <w:r>
        <w:rPr>
          <w:rFonts w:ascii="Times New Roman" w:hAnsi="Times New Roman"/>
          <w:b w:val="false"/>
          <w:i w:val="false"/>
          <w:color w:val="000000"/>
          <w:sz w:val="22"/>
        </w:rPr>
        <w:t> </w:t>
      </w:r>
      <w:r>
        <w:rPr>
          <w:rFonts w:ascii="Times New Roman" w:hAnsi="Times New Roman"/>
          <w:b w:val="false"/>
          <w:i/>
          <w:color w:val="000000"/>
          <w:sz w:val="22"/>
        </w:rPr>
        <w:t xml:space="preserve">Visual acuity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the applicant is screened without corrective lenses. </w:t>
      </w:r>
      <w:r>
        <w:rPr>
          <w:rFonts w:ascii="Times New Roman" w:hAnsi="Times New Roman"/>
          <w:b w:val="false"/>
          <w:i w:val="false"/>
          <w:color w:val="000000"/>
          <w:sz w:val="22"/>
        </w:rPr>
        <w:t>If the visual acuity is 20/40 or better with both eyes or with the better eye, no restriction will be imposed. If the visual acuity is less than 20/40 but at least 20/70 with both eyes or with the better eye, the applicant shall be restricted from driving when headlights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the applicant is screened with corrective lenses. </w:t>
      </w:r>
      <w:r>
        <w:rPr>
          <w:rFonts w:ascii="Times New Roman" w:hAnsi="Times New Roman"/>
          <w:b w:val="false"/>
          <w:i w:val="false"/>
          <w:color w:val="000000"/>
          <w:sz w:val="22"/>
        </w:rPr>
        <w:t>If the visual acuity is 20/40 or better with both eyes or with the better eye, the applicant shall be required to wear corrective lenses. If the visual acuity is less than 20/40 but at least 20/70 with both eyes or with the better eye, the applicant shall be required to wear corrective lenses and shall be restricted from driving when headlights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standards. </w:t>
      </w:r>
      <w:r>
        <w:rPr>
          <w:rFonts w:ascii="Times New Roman" w:hAnsi="Times New Roman"/>
          <w:b w:val="false"/>
          <w:i w:val="false"/>
          <w:color w:val="000000"/>
          <w:sz w:val="22"/>
        </w:rPr>
        <w:t>If the visual acuity in the left eye is less than 20/100, the applicant shall be restricted to driving a vehicle with both left and right outside rearview mirrors. However, if the applicant has a visual acuity of 20/40 in the right eye and less than 20/100 in the left eye without corrective lenses and has corrective lenses that improve the vision in the left eye to better than 20/100, the applicant shall have the option of being restricted to driving with corrective lenses or driving a vehicle with both left and right outside rearview mirrors.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604.11(2)</w:t>
      </w:r>
      <w:r>
        <w:rPr>
          <w:rFonts w:ascii="Times New Roman" w:hAnsi="Times New Roman"/>
          <w:b w:val="false"/>
          <w:i w:val="false"/>
          <w:color w:val="000000"/>
          <w:sz w:val="22"/>
        </w:rPr>
        <w:t> </w:t>
      </w:r>
      <w:r>
        <w:rPr>
          <w:rFonts w:ascii="Times New Roman" w:hAnsi="Times New Roman"/>
          <w:b w:val="false"/>
          <w:i/>
          <w:color w:val="000000"/>
          <w:sz w:val="22"/>
        </w:rPr>
        <w:t xml:space="preserve">Field of vision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binocular field of vision is at least 140 degrees, no restriction will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binocular field of vision is less than 140 degrees but at least 110 degrees, or one eye has a monocular field of vision of at least 100 degrees, the applicant shall be restricted to driving a vehicle with both left and right outside rearview mirrors.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761—604.12</w:t>
      </w:r>
      <w:r>
        <w:rPr>
          <w:rFonts w:ascii="Times New Roman" w:hAnsi="Times New Roman"/>
          <w:b/>
          <w:i w:val="false"/>
          <w:color w:val="000000"/>
          <w:sz w:val="22"/>
        </w:rPr>
        <w:t xml:space="preserve">(321) </w:t>
      </w:r>
      <w:r>
        <w:rPr>
          <w:rFonts w:ascii="Times New Roman" w:hAnsi="Times New Roman"/>
          <w:b/>
          <w:i w:val="false"/>
          <w:color w:val="000000"/>
          <w:sz w:val="22"/>
        </w:rPr>
        <w:t xml:space="preserve">Vision referrals.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604.12(1)</w:t>
      </w:r>
      <w:r>
        <w:rPr>
          <w:rFonts w:ascii="Times New Roman" w:hAnsi="Times New Roman"/>
          <w:b w:val="false"/>
          <w:i w:val="false"/>
          <w:color w:val="000000"/>
          <w:sz w:val="22"/>
        </w:rPr>
        <w:t> </w:t>
      </w:r>
      <w:r>
        <w:rPr>
          <w:rFonts w:ascii="Times New Roman" w:hAnsi="Times New Roman"/>
          <w:b w:val="false"/>
          <w:i/>
          <w:color w:val="000000"/>
          <w:sz w:val="22"/>
        </w:rPr>
        <w:t xml:space="preserve">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during any vision screening, an applicant cannot attain 20/40 with at least one eye but can attain 20/70 with at least one eye, the department shall not issue a license to the applicant. Instead, the department shall advise the applicant to consult a licensed vision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vision report, pursuant to subrule </w:t>
      </w:r>
      <w:hyperlink r:id="rId25">
        <w:r>
          <w:rPr>
            <w:rStyle w:val="Hyperlink"/>
            <w:rFonts w:ascii="Times New Roman" w:hAnsi="Times New Roman"/>
            <w:b w:val="false"/>
            <w:i w:val="false"/>
            <w:color w:val="000000"/>
            <w:sz w:val="22"/>
          </w:rPr>
          <w:t>604.10(3)</w:t>
        </w:r>
      </w:hyperlink>
      <w:r>
        <w:rPr>
          <w:rFonts w:ascii="Times New Roman" w:hAnsi="Times New Roman"/>
          <w:b w:val="false"/>
          <w:i w:val="false"/>
          <w:color w:val="000000"/>
          <w:sz w:val="22"/>
        </w:rPr>
        <w:t>, shall be required before the department will reconsider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604.12(2)</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If the applicant’s license is valid, the department may issue a temporary driving permit with restrictions appropriate to the applicant’s visual acuity level and field of vision. If the applicant’s license is valid for less than 30 days, the temporary driving permit shall not be valid for more than 60 days from the end of the current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604.12(3)</w:t>
      </w:r>
      <w:r>
        <w:rPr>
          <w:rFonts w:ascii="Times New Roman" w:hAnsi="Times New Roman"/>
          <w:b w:val="false"/>
          <w:i w:val="false"/>
          <w:color w:val="000000"/>
          <w:sz w:val="22"/>
        </w:rPr>
        <w:t> </w:t>
      </w:r>
      <w:r>
        <w:rPr>
          <w:rFonts w:ascii="Times New Roman" w:hAnsi="Times New Roman"/>
          <w:b w:val="false"/>
          <w:i/>
          <w:color w:val="000000"/>
          <w:sz w:val="22"/>
        </w:rPr>
        <w:t xml:space="preserve">Report. </w:t>
      </w:r>
      <w:r>
        <w:rPr>
          <w:rFonts w:ascii="Times New Roman" w:hAnsi="Times New Roman"/>
          <w:b w:val="false"/>
          <w:i w:val="false"/>
          <w:color w:val="000000"/>
          <w:sz w:val="22"/>
        </w:rPr>
        <w:t>If the vision report recommends a restriction, the department shall issue a restricted license even though it would not be required by departmental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604.12(4)</w:t>
      </w:r>
      <w:r>
        <w:rPr>
          <w:rFonts w:ascii="Times New Roman" w:hAnsi="Times New Roman"/>
          <w:b w:val="false"/>
          <w:i w:val="false"/>
          <w:color w:val="000000"/>
          <w:sz w:val="22"/>
        </w:rPr>
        <w:t> </w:t>
      </w:r>
      <w:r>
        <w:rPr>
          <w:rFonts w:ascii="Times New Roman" w:hAnsi="Times New Roman"/>
          <w:b w:val="false"/>
          <w:i/>
          <w:color w:val="000000"/>
          <w:sz w:val="22"/>
        </w:rPr>
        <w:t xml:space="preserve">Applicant refusal. </w:t>
      </w:r>
      <w:r>
        <w:rPr>
          <w:rFonts w:ascii="Times New Roman" w:hAnsi="Times New Roman"/>
          <w:b w:val="false"/>
          <w:i w:val="false"/>
          <w:color w:val="000000"/>
          <w:sz w:val="22"/>
        </w:rPr>
        <w:t>If an applicant refuses to consult a licensed vision specialist, the department shall issue or deny the license based on the results achieved on the vision screening.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321.181</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761—604.13</w:t>
      </w:r>
      <w:r>
        <w:rPr>
          <w:rFonts w:ascii="Times New Roman" w:hAnsi="Times New Roman"/>
          <w:b/>
          <w:i w:val="false"/>
          <w:color w:val="000000"/>
          <w:sz w:val="22"/>
        </w:rPr>
        <w:t xml:space="preserve">(321) </w:t>
      </w:r>
      <w:r>
        <w:rPr>
          <w:rFonts w:ascii="Times New Roman" w:hAnsi="Times New Roman"/>
          <w:b/>
          <w:i w:val="false"/>
          <w:color w:val="000000"/>
          <w:sz w:val="22"/>
        </w:rPr>
        <w:t xml:space="preserve">Vision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604.13(1)</w:t>
      </w:r>
      <w:r>
        <w:rPr>
          <w:rFonts w:ascii="Times New Roman" w:hAnsi="Times New Roman"/>
          <w:b w:val="false"/>
          <w:i w:val="false"/>
          <w:color w:val="000000"/>
          <w:sz w:val="22"/>
        </w:rPr>
        <w:t> </w:t>
      </w:r>
      <w:r>
        <w:rPr>
          <w:rFonts w:ascii="Times New Roman" w:hAnsi="Times New Roman"/>
          <w:b w:val="false"/>
          <w:i/>
          <w:color w:val="000000"/>
          <w:sz w:val="22"/>
        </w:rPr>
        <w:t xml:space="preserve">Two-year license. </w:t>
      </w:r>
      <w:r>
        <w:rPr>
          <w:rFonts w:ascii="Times New Roman" w:hAnsi="Times New Roman"/>
          <w:b w:val="false"/>
          <w:i w:val="false"/>
          <w:color w:val="000000"/>
          <w:sz w:val="22"/>
        </w:rPr>
        <w:t xml:space="preserve">An applicant who cannot attain a visual acuity of 20/40 with both eyes or with the better eye shall be issued a two-year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604.13(2)</w:t>
      </w:r>
      <w:r>
        <w:rPr>
          <w:rFonts w:ascii="Times New Roman" w:hAnsi="Times New Roman"/>
          <w:b w:val="false"/>
          <w:i w:val="false"/>
          <w:color w:val="000000"/>
          <w:sz w:val="22"/>
        </w:rPr>
        <w:t> </w:t>
      </w:r>
      <w:r>
        <w:rPr>
          <w:rFonts w:ascii="Times New Roman" w:hAnsi="Times New Roman"/>
          <w:b w:val="false"/>
          <w:i/>
          <w:color w:val="000000"/>
          <w:sz w:val="22"/>
        </w:rPr>
        <w:t xml:space="preserve">License denied.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cannot attain a visual acuity of 20/70 with both eyes or with the better eye shall not be licensed, subject to discretionary issuance under subrule </w:t>
      </w:r>
      <w:hyperlink r:id="rId31">
        <w:r>
          <w:rPr>
            <w:rStyle w:val="Hyperlink"/>
            <w:rFonts w:ascii="Times New Roman" w:hAnsi="Times New Roman"/>
            <w:b w:val="false"/>
            <w:i w:val="false"/>
            <w:color w:val="000000"/>
            <w:sz w:val="22"/>
          </w:rPr>
          <w:t>604.13(4)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binocular field of vision is less than 110 degrees, or the monocular field of vision is less than 100 degrees, the applicant shall not be licensed, subject to discretionary issuance under subrule </w:t>
      </w:r>
      <w:hyperlink r:id="rId32">
        <w:r>
          <w:rPr>
            <w:rStyle w:val="Hyperlink"/>
            <w:rFonts w:ascii="Times New Roman" w:hAnsi="Times New Roman"/>
            <w:b w:val="false"/>
            <w:i w:val="false"/>
            <w:color w:val="000000"/>
            <w:sz w:val="22"/>
          </w:rPr>
          <w:t>604.13(4)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604.13(3)</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 xml:space="preserve">An applicant who cannot meet the vision standards in subrule </w:t>
      </w:r>
      <w:hyperlink r:id="rId33">
        <w:r>
          <w:rPr>
            <w:rStyle w:val="Hyperlink"/>
            <w:rFonts w:ascii="Times New Roman" w:hAnsi="Times New Roman"/>
            <w:b w:val="false"/>
            <w:i w:val="false"/>
            <w:color w:val="000000"/>
            <w:sz w:val="22"/>
          </w:rPr>
          <w:t>604.13(2)</w:t>
        </w:r>
      </w:hyperlink>
      <w:r>
        <w:rPr>
          <w:rFonts w:ascii="Times New Roman" w:hAnsi="Times New Roman"/>
          <w:b w:val="false"/>
          <w:i w:val="false"/>
          <w:color w:val="000000"/>
          <w:sz w:val="22"/>
        </w:rPr>
        <w:t xml:space="preserve"> may reapply when the vision improves and the applicant meets the vision standards. If a suspension or denial notice was served, reapplication must be made to the motor vehicle division at the address in subrule 604.3(1), or at a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604.13(4)</w:t>
      </w:r>
      <w:r>
        <w:rPr>
          <w:rFonts w:ascii="Times New Roman" w:hAnsi="Times New Roman"/>
          <w:b w:val="false"/>
          <w:i w:val="false"/>
          <w:color w:val="000000"/>
          <w:sz w:val="22"/>
        </w:rPr>
        <w:t> </w:t>
      </w:r>
      <w:r>
        <w:rPr>
          <w:rFonts w:ascii="Times New Roman" w:hAnsi="Times New Roman"/>
          <w:b w:val="false"/>
          <w:i/>
          <w:color w:val="000000"/>
          <w:sz w:val="22"/>
        </w:rPr>
        <w:t xml:space="preserve">Discretionary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license is restricted under rule </w:t>
      </w:r>
      <w:hyperlink r:id="rId34">
        <w:r>
          <w:rPr>
            <w:rStyle w:val="Hyperlink"/>
            <w:rFonts w:ascii="Times New Roman" w:hAnsi="Times New Roman"/>
            <w:b w:val="false"/>
            <w:i w:val="false"/>
            <w:color w:val="000000"/>
            <w:sz w:val="22"/>
          </w:rPr>
          <w:t>761—604.11(321)</w:t>
        </w:r>
      </w:hyperlink>
      <w:r>
        <w:rPr>
          <w:rFonts w:ascii="Times New Roman" w:hAnsi="Times New Roman"/>
          <w:b w:val="false"/>
          <w:i w:val="false"/>
          <w:color w:val="000000"/>
          <w:sz w:val="22"/>
        </w:rPr>
        <w:t xml:space="preserve"> or who cannot meet the vision standards in subrule </w:t>
      </w:r>
      <w:hyperlink r:id="rId35">
        <w:r>
          <w:rPr>
            <w:rStyle w:val="Hyperlink"/>
            <w:rFonts w:ascii="Times New Roman" w:hAnsi="Times New Roman"/>
            <w:b w:val="false"/>
            <w:i w:val="false"/>
            <w:color w:val="000000"/>
            <w:sz w:val="22"/>
          </w:rPr>
          <w:t>604.13(2)</w:t>
        </w:r>
      </w:hyperlink>
      <w:r>
        <w:rPr>
          <w:rFonts w:ascii="Times New Roman" w:hAnsi="Times New Roman"/>
          <w:b w:val="false"/>
          <w:i w:val="false"/>
          <w:color w:val="000000"/>
          <w:sz w:val="22"/>
        </w:rPr>
        <w:t xml:space="preserve"> may submit a written request for review by an informal settlement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upon consideration of the applicant’s vision report, driving test and driving record, the written recommendation of the applicant’s licensed vision specialist, and traffic conditions in the vicinity of the applicant’s residence, the officer may recommend issuing a license with restrictions suitable to the applicant’s capabilities. However: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visual acuity of 20/100 with both eyes or with the better eye may be considered for licensing only after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visual acuity of 20/199 with both eyes or with the better eye shall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applicant’s binocular field of vision or monocular field of vision is less than 75 degrees, the applicant may be considered for licensing only after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applicant who cannot attain a binocular or monocular field of vision of 21 degrees shall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officer’s recommendation denying discretionary issuance or regarding the extent and nature of restrictions is subject to reversal or modification upon review or appeal only if it is clearly characterized by an abuse of discretion.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761—604.14</w:t>
      </w:r>
      <w:r>
        <w:rPr>
          <w:rFonts w:ascii="Times New Roman" w:hAnsi="Times New Roman"/>
          <w:b w:val="false"/>
          <w:i w:val="false"/>
          <w:color w:val="000000"/>
          <w:sz w:val="22"/>
        </w:rPr>
        <w:t xml:space="preserve"> to </w:t>
      </w:r>
      <w:r>
        <w:rPr>
          <w:rFonts w:ascii="Times New Roman" w:hAnsi="Times New Roman"/>
          <w:b/>
          <w:i w:val="false"/>
          <w:color w:val="000000"/>
          <w:sz w:val="22"/>
        </w:rPr>
        <w:t>604.19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761—604.20</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604.20(1)</w:t>
      </w:r>
      <w:r>
        <w:rPr>
          <w:rFonts w:ascii="Times New Roman" w:hAnsi="Times New Roman"/>
          <w:b w:val="false"/>
          <w:i w:val="false"/>
          <w:color w:val="000000"/>
          <w:sz w:val="22"/>
        </w:rPr>
        <w:t> </w:t>
      </w:r>
      <w:r>
        <w:rPr>
          <w:rFonts w:ascii="Times New Roman" w:hAnsi="Times New Roman"/>
          <w:b w:val="false"/>
          <w:i/>
          <w:color w:val="000000"/>
          <w:sz w:val="22"/>
        </w:rPr>
        <w:t xml:space="preserve">Written test. </w:t>
      </w:r>
      <w:r>
        <w:rPr>
          <w:rFonts w:ascii="Times New Roman" w:hAnsi="Times New Roman"/>
          <w:b w:val="false"/>
          <w:i w:val="false"/>
          <w:color w:val="000000"/>
          <w:sz w:val="22"/>
        </w:rPr>
        <w:t>A knowledge test is a written test to determine an applicant’s ability to read and understand Iowa traffic laws and the highway signs that regulate, warn, and direct traffic. A test may be revised at any time but each test states the minimum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604.20(2)</w:t>
      </w:r>
      <w:r>
        <w:rPr>
          <w:rFonts w:ascii="Times New Roman" w:hAnsi="Times New Roman"/>
          <w:b w:val="false"/>
          <w:i w:val="false"/>
          <w:color w:val="000000"/>
          <w:sz w:val="22"/>
        </w:rPr>
        <w:t> </w:t>
      </w:r>
      <w:r>
        <w:rPr>
          <w:rFonts w:ascii="Times New Roman" w:hAnsi="Times New Roman"/>
          <w:b w:val="false"/>
          <w:i/>
          <w:color w:val="000000"/>
          <w:sz w:val="22"/>
        </w:rPr>
        <w:t xml:space="preserve">Three types of tests. </w:t>
      </w:r>
      <w:r>
        <w:rPr>
          <w:rFonts w:ascii="Times New Roman" w:hAnsi="Times New Roman"/>
          <w:b w:val="false"/>
          <w:i w:val="false"/>
          <w:color w:val="000000"/>
          <w:sz w:val="22"/>
        </w:rPr>
        <w:t>There are three types of knowledge tests: an operator’s test, a chauffeur’s test, and a motorcycle test. The requirement for a license depends upon the class of license desired, applicable endorsements, and the qualifications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604.20(3)</w:t>
      </w:r>
      <w:r>
        <w:rPr>
          <w:rFonts w:ascii="Times New Roman" w:hAnsi="Times New Roman"/>
          <w:b w:val="false"/>
          <w:i w:val="false"/>
          <w:color w:val="000000"/>
          <w:sz w:val="22"/>
        </w:rPr>
        <w:t> </w:t>
      </w:r>
      <w:r>
        <w:rPr>
          <w:rFonts w:ascii="Times New Roman" w:hAnsi="Times New Roman"/>
          <w:b w:val="false"/>
          <w:i/>
          <w:color w:val="000000"/>
          <w:sz w:val="22"/>
        </w:rPr>
        <w:t xml:space="preserve">Oral test. </w:t>
      </w:r>
      <w:r>
        <w:rPr>
          <w:rFonts w:ascii="Times New Roman" w:hAnsi="Times New Roman"/>
          <w:b w:val="false"/>
          <w:i w:val="false"/>
          <w:color w:val="000000"/>
          <w:sz w:val="22"/>
        </w:rPr>
        <w:t>An applicant who is unable to read or understand a written test may request an oral test. The oral test may be administered by an examiner or by an automated testing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604.20(4)</w:t>
      </w:r>
      <w:r>
        <w:rPr>
          <w:rFonts w:ascii="Times New Roman" w:hAnsi="Times New Roman"/>
          <w:b w:val="false"/>
          <w:i w:val="false"/>
          <w:color w:val="000000"/>
          <w:sz w:val="22"/>
        </w:rPr>
        <w:t> </w:t>
      </w:r>
      <w:r>
        <w:rPr>
          <w:rFonts w:ascii="Times New Roman" w:hAnsi="Times New Roman"/>
          <w:b w:val="false"/>
          <w:i/>
          <w:color w:val="000000"/>
          <w:sz w:val="22"/>
        </w:rPr>
        <w:t xml:space="preserve">Test score. </w:t>
      </w:r>
      <w:r>
        <w:rPr>
          <w:rFonts w:ascii="Times New Roman" w:hAnsi="Times New Roman"/>
          <w:b w:val="false"/>
          <w:i w:val="false"/>
          <w:color w:val="000000"/>
          <w:sz w:val="22"/>
        </w:rPr>
        <w:t>The test score result is valid for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604.20(5)</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 xml:space="preserve">An applicant who fails a knowledge test may repeat the test at the discretion of the examiner.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i w:val="false"/>
          <w:color w:val="000000"/>
          <w:sz w:val="16"/>
        </w:rPr>
        <w:t>ARC 6059C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761—604.21</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604.21(1)</w:t>
      </w:r>
      <w:r>
        <w:rPr>
          <w:rFonts w:ascii="Times New Roman" w:hAnsi="Times New Roman"/>
          <w:b w:val="false"/>
          <w:i w:val="false"/>
          <w:color w:val="000000"/>
          <w:sz w:val="22"/>
        </w:rPr>
        <w:t> </w:t>
      </w:r>
      <w:r>
        <w:rPr>
          <w:rFonts w:ascii="Times New Roman" w:hAnsi="Times New Roman"/>
          <w:b w:val="false"/>
          <w:i/>
          <w:color w:val="000000"/>
          <w:sz w:val="22"/>
        </w:rPr>
        <w:t xml:space="preserve">Knowledge test requirements. </w:t>
      </w:r>
      <w:r>
        <w:rPr>
          <w:rFonts w:ascii="Times New Roman" w:hAnsi="Times New Roman"/>
          <w:b w:val="false"/>
          <w:i w:val="false"/>
          <w:color w:val="000000"/>
          <w:sz w:val="22"/>
        </w:rPr>
        <w:t>The knowledge test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Operator’s test. </w:t>
      </w:r>
      <w:r>
        <w:rPr>
          <w:rFonts w:ascii="Times New Roman" w:hAnsi="Times New Roman"/>
          <w:b w:val="false"/>
          <w:i w:val="false"/>
          <w:color w:val="000000"/>
          <w:sz w:val="22"/>
        </w:rPr>
        <w:t>An operator’s knowledge test is required for all classes of driver’s licenses and all types of special driver’s licenses and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Motorcycle test. </w:t>
      </w:r>
      <w:r>
        <w:rPr>
          <w:rFonts w:ascii="Times New Roman" w:hAnsi="Times New Roman"/>
          <w:b w:val="false"/>
          <w:i w:val="false"/>
          <w:color w:val="000000"/>
          <w:sz w:val="22"/>
        </w:rPr>
        <w:t>A motorcycle knowledge test is required for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Motorcycle instruction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M driver’s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Motorcycle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Chauffeur’s test. </w:t>
      </w:r>
      <w:r>
        <w:rPr>
          <w:rFonts w:ascii="Times New Roman" w:hAnsi="Times New Roman"/>
          <w:b w:val="false"/>
          <w:i w:val="false"/>
          <w:color w:val="000000"/>
          <w:sz w:val="22"/>
        </w:rPr>
        <w:t>A chauffeur’s knowledge test is required for all chauffeur’s instruction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604.21(2)</w:t>
      </w:r>
      <w:r>
        <w:rPr>
          <w:rFonts w:ascii="Times New Roman" w:hAnsi="Times New Roman"/>
          <w:b w:val="false"/>
          <w:i w:val="false"/>
          <w:color w:val="000000"/>
          <w:sz w:val="22"/>
        </w:rPr>
        <w:t> </w:t>
      </w:r>
      <w:r>
        <w:rPr>
          <w:rFonts w:ascii="Times New Roman" w:hAnsi="Times New Roman"/>
          <w:b w:val="false"/>
          <w:i/>
          <w:color w:val="000000"/>
          <w:sz w:val="22"/>
        </w:rPr>
        <w:t xml:space="preserve">Knowledge test waivers. </w:t>
      </w:r>
      <w:r>
        <w:rPr>
          <w:rFonts w:ascii="Times New Roman" w:hAnsi="Times New Roman"/>
          <w:b w:val="false"/>
          <w:i w:val="false"/>
          <w:color w:val="000000"/>
          <w:sz w:val="22"/>
        </w:rPr>
        <w:t xml:space="preserve">The department may waive a knowledge test listed in subrule </w:t>
      </w:r>
      <w:hyperlink r:id="rId41">
        <w:r>
          <w:rPr>
            <w:rStyle w:val="Hyperlink"/>
            <w:rFonts w:ascii="Times New Roman" w:hAnsi="Times New Roman"/>
            <w:b w:val="false"/>
            <w:i w:val="false"/>
            <w:color w:val="000000"/>
            <w:sz w:val="22"/>
          </w:rPr>
          <w:t>604.21(1)</w:t>
        </w:r>
      </w:hyperlink>
      <w:r>
        <w:rPr>
          <w:rFonts w:ascii="Times New Roman" w:hAnsi="Times New Roman"/>
          <w:b w:val="false"/>
          <w:i w:val="false"/>
          <w:color w:val="000000"/>
          <w:sz w:val="22"/>
        </w:rPr>
        <w:t xml:space="preserve"> if the applicant meets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passed the same type of test for another Iowa driver’s license or an equivalent out-of-state license that is still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equivalent driver’s license issued by a foreign jurisdiction with which Iowa has a nonbinding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a military extension and is renewing the applicant’s Iowa driver’s license within six months following separation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is renewing an Iowa driver’s license or endorsement within a period of one year after the expiration date of the license 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reinstating from a denial, cancellation, suspension, revocation, disqualification or bar of an Iowa driver’s license or endorsement within a period of one year after the expiration date of the denial, cancellation, suspension, revocation, disqualification or bar.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House File 389</w:t>
      </w:r>
      <w:r>
        <w:rPr>
          <w:rFonts w:ascii="Times New Roman" w:hAnsi="Times New Roman"/>
          <w:b w:val="false"/>
          <w:i w:val="false"/>
          <w:color w:val="000000"/>
          <w:sz w:val="22"/>
        </w:rPr>
        <w:t>, </w:t>
      </w:r>
      <w:hyperlink r:id="rId43">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i w:val="false"/>
          <w:color w:val="000000"/>
          <w:sz w:val="16"/>
        </w:rPr>
        <w:t>ARC 5942C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761—604.22</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 results.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5048C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6/3/20</w:t>
      </w:r>
      <w:r>
        <w:rPr>
          <w:rFonts w:ascii="Times New Roman" w:hAnsi="Times New Roman"/>
          <w:b w:val="false"/>
          <w:i w:val="false"/>
          <w:color w:val="000000"/>
          <w:sz w:val="22"/>
        </w:rPr>
        <w:t xml:space="preserve">, effective 7/8/20. </w:t>
      </w:r>
    </w:p>
    <w:p>
      <w:pPr>
        <w:spacing w:before="210" w:after="0"/>
        <w:ind w:left="120"/>
        <w:jc w:val="both"/>
      </w:pPr>
      <w:r>
        <w:rPr>
          <w:rFonts w:ascii="Times New Roman" w:hAnsi="Times New Roman"/>
          <w:b/>
          <w:i w:val="false"/>
          <w:color w:val="000000"/>
          <w:sz w:val="22"/>
        </w:rPr>
        <w:t>761—604.23</w:t>
      </w:r>
      <w:r>
        <w:rPr>
          <w:rFonts w:ascii="Times New Roman" w:hAnsi="Times New Roman"/>
          <w:b w:val="false"/>
          <w:i w:val="false"/>
          <w:color w:val="000000"/>
          <w:sz w:val="22"/>
        </w:rPr>
        <w:t xml:space="preserve"> to </w:t>
      </w:r>
      <w:r>
        <w:rPr>
          <w:rFonts w:ascii="Times New Roman" w:hAnsi="Times New Roman"/>
          <w:b/>
          <w:i w:val="false"/>
          <w:color w:val="000000"/>
          <w:sz w:val="22"/>
        </w:rPr>
        <w:t>604.29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761—604.30</w:t>
      </w:r>
      <w:r>
        <w:rPr>
          <w:rFonts w:ascii="Times New Roman" w:hAnsi="Times New Roman"/>
          <w:b/>
          <w:i w:val="false"/>
          <w:color w:val="000000"/>
          <w:sz w:val="22"/>
        </w:rPr>
        <w:t xml:space="preserve">(321) </w:t>
      </w:r>
      <w:r>
        <w:rPr>
          <w:rFonts w:ascii="Times New Roman" w:hAnsi="Times New Roman"/>
          <w:b/>
          <w:i w:val="false"/>
          <w:color w:val="000000"/>
          <w:sz w:val="22"/>
        </w:rPr>
        <w:t xml:space="preserve">Driving test. </w:t>
      </w:r>
      <w:r>
        <w:rPr>
          <w:rFonts w:ascii="Times New Roman" w:hAnsi="Times New Roman"/>
          <w:b w:val="false"/>
          <w:i w:val="false"/>
          <w:color w:val="000000"/>
          <w:sz w:val="22"/>
        </w:rPr>
        <w:t>A driving test is a demonstration of an applicant’s ability to exercise ordinary and reasonable control in the operation of a motor vehicle under actual traffic conditions. The test is also called a road test, field test, or driving demonstration. A motorcycle skill test is an off-street demonstration of an applicant’s ability to control the motorcycle in a set of standard maneuvers, and a motorcycle driving test is an on-street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604.30(1)</w:t>
      </w:r>
      <w:r>
        <w:rPr>
          <w:rFonts w:ascii="Times New Roman" w:hAnsi="Times New Roman"/>
          <w:b w:val="false"/>
          <w:i w:val="false"/>
          <w:color w:val="000000"/>
          <w:sz w:val="22"/>
        </w:rPr>
        <w:t> </w:t>
      </w:r>
      <w:r>
        <w:rPr>
          <w:rFonts w:ascii="Times New Roman" w:hAnsi="Times New Roman"/>
          <w:b w:val="false"/>
          <w:i/>
          <w:color w:val="000000"/>
          <w:sz w:val="22"/>
        </w:rPr>
        <w:t xml:space="preserve">Vehicle type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driving test, the applicant shall provide a representative vehicle as defined in </w:t>
      </w:r>
      <w:hyperlink r:id="rId50">
        <w:r>
          <w:rPr>
            <w:rStyle w:val="Hyperlink"/>
            <w:rFonts w:ascii="Times New Roman" w:hAnsi="Times New Roman"/>
            <w:b w:val="false"/>
            <w:i w:val="false"/>
            <w:color w:val="000000"/>
            <w:sz w:val="22"/>
          </w:rPr>
          <w:t>761—604.2</w:t>
        </w:r>
      </w:hyperlink>
      <w:r>
        <w:rPr>
          <w:rFonts w:ascii="Times New Roman" w:hAnsi="Times New Roman"/>
          <w:b w:val="false"/>
          <w:i w:val="false"/>
          <w:color w:val="000000"/>
          <w:sz w:val="22"/>
        </w:rPr>
        <w:t>(321) and proof of financial responsibility for the representative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examiner or other authorized personnel shall visually inspect the vehicle. If a vehicle is illegal or unsafe, or is not a representative vehicle, the examiner shall refuse to administer the test until corrections are made or an acceptable vehicle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604.30(2)</w:t>
      </w:r>
      <w:r>
        <w:rPr>
          <w:rFonts w:ascii="Times New Roman" w:hAnsi="Times New Roman"/>
          <w:b w:val="false"/>
          <w:i w:val="false"/>
          <w:color w:val="000000"/>
          <w:sz w:val="22"/>
        </w:rPr>
        <w:t> </w:t>
      </w:r>
      <w:r>
        <w:rPr>
          <w:rFonts w:ascii="Times New Roman" w:hAnsi="Times New Roman"/>
          <w:b w:val="false"/>
          <w:i/>
          <w:color w:val="000000"/>
          <w:sz w:val="22"/>
        </w:rPr>
        <w:t xml:space="preserve">Criteria and route. </w:t>
      </w:r>
      <w:r>
        <w:rPr>
          <w:rFonts w:ascii="Times New Roman" w:hAnsi="Times New Roman"/>
          <w:b w:val="false"/>
          <w:i w:val="false"/>
          <w:color w:val="000000"/>
          <w:sz w:val="22"/>
        </w:rPr>
        <w:t>Form 430024, “Your Driving Test,” explains the criteria for passing the test and shall be given to the applicant before any required test, except a motorcycle skill test. The applicant shall be directed over one of the routes which have been preselected by the examiner to test driving skills and maneuvers.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604.30(3)</w:t>
      </w:r>
      <w:r>
        <w:rPr>
          <w:rFonts w:ascii="Times New Roman" w:hAnsi="Times New Roman"/>
          <w:b w:val="false"/>
          <w:i w:val="false"/>
          <w:color w:val="000000"/>
          <w:sz w:val="22"/>
        </w:rPr>
        <w:t> </w:t>
      </w:r>
      <w:r>
        <w:rPr>
          <w:rFonts w:ascii="Times New Roman" w:hAnsi="Times New Roman"/>
          <w:b w:val="false"/>
          <w:i/>
          <w:color w:val="000000"/>
          <w:sz w:val="22"/>
        </w:rPr>
        <w:t xml:space="preserve">Test score. </w:t>
      </w:r>
      <w:r>
        <w:rPr>
          <w:rFonts w:ascii="Times New Roman" w:hAnsi="Times New Roman"/>
          <w:b w:val="false"/>
          <w:i w:val="false"/>
          <w:color w:val="000000"/>
          <w:sz w:val="22"/>
        </w:rPr>
        <w:t>The examiner shall use the standard departmental score sheet and shall enter the test score and the licensing decision in the spaces provided. At the end of the test, the examiner shall explain the test score. The test score result is valid for 180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604.30(4)</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An applicant who fails a driving test may repeat the test at the discretion of the examiner.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9991B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i w:val="false"/>
          <w:color w:val="000000"/>
          <w:sz w:val="16"/>
        </w:rPr>
        <w:t>ARC 6059C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761—604.31</w:t>
      </w:r>
      <w:r>
        <w:rPr>
          <w:rFonts w:ascii="Times New Roman" w:hAnsi="Times New Roman"/>
          <w:b/>
          <w:i w:val="false"/>
          <w:color w:val="000000"/>
          <w:sz w:val="22"/>
        </w:rPr>
        <w:t xml:space="preserve">(321) </w:t>
      </w:r>
      <w:r>
        <w:rPr>
          <w:rFonts w:ascii="Times New Roman" w:hAnsi="Times New Roman"/>
          <w:b/>
          <w:i w:val="false"/>
          <w:color w:val="000000"/>
          <w:sz w:val="22"/>
        </w:rPr>
        <w:t xml:space="preserve">Driving test requirements and waivers for noncommercial driver’s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604.31(1)</w:t>
      </w:r>
      <w:r>
        <w:rPr>
          <w:rFonts w:ascii="Times New Roman" w:hAnsi="Times New Roman"/>
          <w:b w:val="false"/>
          <w:i w:val="false"/>
          <w:color w:val="000000"/>
          <w:sz w:val="22"/>
        </w:rPr>
        <w:t> </w:t>
      </w:r>
      <w:r>
        <w:rPr>
          <w:rFonts w:ascii="Times New Roman" w:hAnsi="Times New Roman"/>
          <w:b w:val="false"/>
          <w:i/>
          <w:color w:val="000000"/>
          <w:sz w:val="22"/>
        </w:rPr>
        <w:t xml:space="preserve">Driving test requirements. </w:t>
      </w:r>
      <w:r>
        <w:rPr>
          <w:rFonts w:ascii="Times New Roman" w:hAnsi="Times New Roman"/>
          <w:b w:val="false"/>
          <w:i w:val="false"/>
          <w:color w:val="000000"/>
          <w:sz w:val="22"/>
        </w:rPr>
        <w:t>The driving test requirements for noncommercial driver’s licenses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 permits. </w:t>
      </w:r>
      <w:r>
        <w:rPr>
          <w:rFonts w:ascii="Times New Roman" w:hAnsi="Times New Roman"/>
          <w:b w:val="false"/>
          <w:i w:val="false"/>
          <w:color w:val="000000"/>
          <w:sz w:val="22"/>
        </w:rPr>
        <w:t>A driving test is not required to obtain an instruction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C driver’s licenses. </w:t>
      </w:r>
      <w:r>
        <w:rPr>
          <w:rFonts w:ascii="Times New Roman" w:hAnsi="Times New Roman"/>
          <w:b w:val="false"/>
          <w:i w:val="false"/>
          <w:color w:val="000000"/>
          <w:sz w:val="22"/>
        </w:rPr>
        <w:t xml:space="preserve">For a Class C driver’s license other than an instruction permit or a motorized bicycle license, an operator’s driving test in a representative vehicle is required, except that an autocycle as defined in Iowa Code section </w:t>
      </w:r>
      <w:hyperlink r:id="rId5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shall not be used for the 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D driver’s licenses. </w:t>
      </w:r>
      <w:r>
        <w:rPr>
          <w:rFonts w:ascii="Times New Roman" w:hAnsi="Times New Roman"/>
          <w:b w:val="false"/>
          <w:i w:val="false"/>
          <w:color w:val="000000"/>
          <w:sz w:val="22"/>
        </w:rPr>
        <w:t xml:space="preserve">For a Class D driver’s license, a driving test in a representative vehicle for the endorsement requested, as set out in </w:t>
      </w:r>
      <w:hyperlink r:id="rId54">
        <w:r>
          <w:rPr>
            <w:rStyle w:val="Hyperlink"/>
            <w:rFonts w:ascii="Times New Roman" w:hAnsi="Times New Roman"/>
            <w:b w:val="false"/>
            <w:i w:val="false"/>
            <w:color w:val="000000"/>
            <w:sz w:val="22"/>
          </w:rPr>
          <w:t>761—subrule 605.7(3)</w:t>
        </w:r>
      </w:hyperlink>
      <w:r>
        <w:rPr>
          <w:rFonts w:ascii="Times New Roman" w:hAnsi="Times New Roman"/>
          <w:b w:val="false"/>
          <w:i w:val="false"/>
          <w:color w:val="000000"/>
          <w:sz w:val="22"/>
        </w:rPr>
        <w: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 M driver’s licenses and motorcycle endorsements. </w:t>
      </w:r>
      <w:r>
        <w:rPr>
          <w:rFonts w:ascii="Times New Roman" w:hAnsi="Times New Roman"/>
          <w:b w:val="false"/>
          <w:i w:val="false"/>
          <w:color w:val="000000"/>
          <w:sz w:val="22"/>
        </w:rPr>
        <w:t>The driving test for a Class M driver’s license or motorcycle endorsement consists of two parts: an off-street motorcycle skill test and an on-street 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off-street motorcycle skill test is required. The on-street motorcycle driving test is also required if the applicant does not have another driver’s license that permits unaccompanied driving. Neither motorcycle test is required for the purposes of operating an autocycle.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motorcycle shall be used for these tests. If a three-wheeled motorcycle is used, the driver’s license shall be restricted: “Not valid for 2-wheel vehicle.” An autocycle is not considered a motorcycle or a three-wheeled motorcycle for testing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Motorized bicycle licenses. </w:t>
      </w:r>
      <w:r>
        <w:rPr>
          <w:rFonts w:ascii="Times New Roman" w:hAnsi="Times New Roman"/>
          <w:b w:val="false"/>
          <w:i w:val="false"/>
          <w:color w:val="000000"/>
          <w:sz w:val="22"/>
        </w:rPr>
        <w:t>For a motorized bicycle license, an off-street or on-street driving test may be required. A motorized bicycle shall be used for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604.31(2)</w:t>
      </w:r>
      <w:r>
        <w:rPr>
          <w:rFonts w:ascii="Times New Roman" w:hAnsi="Times New Roman"/>
          <w:b w:val="false"/>
          <w:i w:val="false"/>
          <w:color w:val="000000"/>
          <w:sz w:val="22"/>
        </w:rPr>
        <w:t> </w:t>
      </w:r>
      <w:r>
        <w:rPr>
          <w:rFonts w:ascii="Times New Roman" w:hAnsi="Times New Roman"/>
          <w:b w:val="false"/>
          <w:i/>
          <w:color w:val="000000"/>
          <w:sz w:val="22"/>
        </w:rPr>
        <w:t xml:space="preserve">Driving test waivers. </w:t>
      </w:r>
      <w:r>
        <w:rPr>
          <w:rFonts w:ascii="Times New Roman" w:hAnsi="Times New Roman"/>
          <w:b w:val="false"/>
          <w:i w:val="false"/>
          <w:color w:val="000000"/>
          <w:sz w:val="22"/>
        </w:rPr>
        <w:t xml:space="preserve">The department may waive a required driving test listed in subrule </w:t>
      </w:r>
      <w:hyperlink r:id="rId55">
        <w:r>
          <w:rPr>
            <w:rStyle w:val="Hyperlink"/>
            <w:rFonts w:ascii="Times New Roman" w:hAnsi="Times New Roman"/>
            <w:b w:val="false"/>
            <w:i w:val="false"/>
            <w:color w:val="000000"/>
            <w:sz w:val="22"/>
          </w:rPr>
          <w:t>604.31(1)</w:t>
        </w:r>
      </w:hyperlink>
      <w:r>
        <w:rPr>
          <w:rFonts w:ascii="Times New Roman" w:hAnsi="Times New Roman"/>
          <w:b w:val="false"/>
          <w:i w:val="false"/>
          <w:color w:val="000000"/>
          <w:sz w:val="22"/>
        </w:rPr>
        <w:t xml:space="preserve"> if the applicant meets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successfully completed the appropriate Iowa-approved course or courses. The appropriate Iowa-approved courses are the following: driver education, other than driver education by a teaching parent under rule </w:t>
      </w:r>
      <w:hyperlink r:id="rId56">
        <w:r>
          <w:rPr>
            <w:rStyle w:val="Hyperlink"/>
            <w:rFonts w:ascii="Times New Roman" w:hAnsi="Times New Roman"/>
            <w:b w:val="false"/>
            <w:i w:val="false"/>
            <w:color w:val="000000"/>
            <w:sz w:val="22"/>
          </w:rPr>
          <w:t>761—634.11</w:t>
        </w:r>
      </w:hyperlink>
      <w:r>
        <w:rPr>
          <w:rFonts w:ascii="Times New Roman" w:hAnsi="Times New Roman"/>
          <w:b w:val="false"/>
          <w:i w:val="false"/>
          <w:color w:val="000000"/>
          <w:sz w:val="22"/>
        </w:rPr>
        <w:t>(321), for an applicant’s first Class C driver’s license that permits unaccompanied driving other than motorized bicycle; motorcycle rider education for a Class M driver’s license or motorcycle endorsement; and motorized bicycle education for a motorized bicycle license. However, if an applicant is under the age of 18, a driving test is required if so requested by the applicant’s parent, guardian,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renewing a Class C, Class D or Class M Iowa driver’s license or endorsement within a period of one year after the expiration date of the license 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reinstating from a denial, cancellation, suspension, revocation, disqualification or bar of an Iowa driver’s license or endorsement within a period of one year after the expiration date of the denial, cancellation, suspension, revocation, disqualification or bar.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passed the same type of driving test for another Iowa driver’s license or endorsement that is still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a military extension and is renewing the applicant’s Iowa driver’s license within six months following separation from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C Iowa driver’s license that permits unaccompanied driving and has an equivalent out-of-state license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D Iowa driver’s license and has an equivalent out-of-state license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 is applying for a Class M driver’s license or a motorcycle endorsement and has an equivalent out-of-state Class M driver’s license or motorcycle endorsement that is valid or has expired within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equivalent driver’s license issued by a foreign jurisdiction with which Iowa has a nonbinding reciprocity agreement.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7902B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1612C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2071C</w:t>
      </w:r>
      <w:r>
        <w:rPr>
          <w:rFonts w:ascii="Times New Roman" w:hAnsi="Times New Roman"/>
          <w:b w:val="false"/>
          <w:i w:val="false"/>
          <w:color w:val="000000"/>
          <w:sz w:val="16"/>
        </w:rPr>
        <w:t>, IAB 8/5/15, effective 7/14/15</w:t>
      </w:r>
      <w:r>
        <w:rPr>
          <w:rFonts w:ascii="Times New Roman" w:hAnsi="Times New Roman"/>
          <w:b w:val="false"/>
          <w:i w:val="false"/>
          <w:color w:val="000000"/>
          <w:sz w:val="16"/>
        </w:rPr>
        <w:t xml:space="preserve">; </w:t>
      </w:r>
      <w:r>
        <w:rPr>
          <w:rFonts w:ascii="Times New Roman" w:hAnsi="Times New Roman"/>
          <w:b/>
          <w:i w:val="false"/>
          <w:color w:val="000000"/>
          <w:sz w:val="16"/>
        </w:rPr>
        <w:t>ARC 2337C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4586C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761—604.32</w:t>
      </w:r>
      <w:r>
        <w:rPr>
          <w:rFonts w:ascii="Times New Roman" w:hAnsi="Times New Roman"/>
          <w:b w:val="false"/>
          <w:i w:val="false"/>
          <w:color w:val="000000"/>
          <w:sz w:val="22"/>
        </w:rPr>
        <w:t xml:space="preserve"> to </w:t>
      </w:r>
      <w:r>
        <w:rPr>
          <w:rFonts w:ascii="Times New Roman" w:hAnsi="Times New Roman"/>
          <w:b/>
          <w:i w:val="false"/>
          <w:color w:val="000000"/>
          <w:sz w:val="22"/>
        </w:rPr>
        <w:t>604.34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761—604.35</w:t>
      </w:r>
      <w:r>
        <w:rPr>
          <w:rFonts w:ascii="Times New Roman" w:hAnsi="Times New Roman"/>
          <w:b/>
          <w:i w:val="false"/>
          <w:color w:val="000000"/>
          <w:sz w:val="22"/>
        </w:rPr>
        <w:t xml:space="preserve">(321) </w:t>
      </w:r>
      <w:r>
        <w:rPr>
          <w:rFonts w:ascii="Times New Roman" w:hAnsi="Times New Roman"/>
          <w:b/>
          <w:i w:val="false"/>
          <w:color w:val="000000"/>
          <w:sz w:val="22"/>
        </w:rPr>
        <w:t xml:space="preserve">Determination of gross vehicle weight rating. </w:t>
      </w:r>
      <w:r>
        <w:rPr>
          <w:rFonts w:ascii="Times New Roman" w:hAnsi="Times New Roman"/>
          <w:b w:val="false"/>
          <w:i w:val="false"/>
          <w:color w:val="000000"/>
          <w:sz w:val="22"/>
        </w:rPr>
        <w:t>For a vehicle that has no legible manufacturer’s certification label, the applicant may provide documentation of the gross vehicle weight rating, such as a manufacturer’s certificate of origin, a title, a vehicle registration document, or the vehicle identification number information for the vehicle. In the absence of the above documentation, the registered weight of the vehicle shall be presumed to be the gross vehicle weight rating.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761—604.36</w:t>
      </w:r>
      <w:r>
        <w:rPr>
          <w:rFonts w:ascii="Times New Roman" w:hAnsi="Times New Roman"/>
          <w:b w:val="false"/>
          <w:i w:val="false"/>
          <w:color w:val="000000"/>
          <w:sz w:val="22"/>
        </w:rPr>
        <w:t xml:space="preserve"> to </w:t>
      </w:r>
      <w:r>
        <w:rPr>
          <w:rFonts w:ascii="Times New Roman" w:hAnsi="Times New Roman"/>
          <w:b/>
          <w:i w:val="false"/>
          <w:color w:val="000000"/>
          <w:sz w:val="22"/>
        </w:rPr>
        <w:t>604.39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761—604.40</w:t>
      </w:r>
      <w:r>
        <w:rPr>
          <w:rFonts w:ascii="Times New Roman" w:hAnsi="Times New Roman"/>
          <w:b/>
          <w:i w:val="false"/>
          <w:color w:val="000000"/>
          <w:sz w:val="22"/>
        </w:rPr>
        <w:t xml:space="preserve">(321) </w:t>
      </w:r>
      <w:r>
        <w:rPr>
          <w:rFonts w:ascii="Times New Roman" w:hAnsi="Times New Roman"/>
          <w:b/>
          <w:i w:val="false"/>
          <w:color w:val="000000"/>
          <w:sz w:val="22"/>
        </w:rPr>
        <w:t xml:space="preserve">Failure to pass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604.40(1)</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to pass a required examination or reexamination shall not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have a valid Iowa license, the department shall deny the applicant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has a valid Iowa license, the department shall suspend the license for incapability. However, if the applicant’s license is valid for less than 30 days, the department shall deny further licensing. The department shall serve a notice of suspension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hyperlink r:id="rId70">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 xml:space="preserve">(321) for further information on denials and </w:t>
      </w:r>
      <w:hyperlink r:id="rId71">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(321) for further information on suspensions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contest a denial or suspension in accordance with </w:t>
      </w:r>
      <w:hyperlink r:id="rId72">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604.40(2)</w:t>
      </w:r>
      <w:r>
        <w:rPr>
          <w:rFonts w:ascii="Times New Roman" w:hAnsi="Times New Roman"/>
          <w:b w:val="false"/>
          <w:i w:val="false"/>
          <w:color w:val="000000"/>
          <w:sz w:val="22"/>
        </w:rPr>
        <w:t> </w:t>
      </w:r>
      <w:r>
        <w:rPr>
          <w:rFonts w:ascii="Times New Roman" w:hAnsi="Times New Roman"/>
          <w:b w:val="false"/>
          <w:i w:val="false"/>
          <w:color w:val="000000"/>
          <w:sz w:val="22"/>
        </w:rPr>
        <w:t>Limitations on the hearing and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suspension or denial for failure to pass a required knowledge or driving test, a person who contests the suspension or denial shall be deemed to have exhausted the person’s administrative remedies after three unsuccessful attempts to pass the required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three unsuccessful attempts, no further testing shall be allowed until six months have elapsed from the date of the last test failure, and then only if the applicant demonstrates a significant change or improvement in those physical or mental factors that resulted in the original decision. A request for further testing must be submitted in writing to the motor vehicle division at the address in subrule 604.3(1).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no testing shall occur if the director determines that it is unsafe to allow testing.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74">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12/28/22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761—604.41</w:t>
      </w:r>
      <w:r>
        <w:rPr>
          <w:rFonts w:ascii="Times New Roman" w:hAnsi="Times New Roman"/>
          <w:b w:val="false"/>
          <w:i w:val="false"/>
          <w:color w:val="000000"/>
          <w:sz w:val="22"/>
        </w:rPr>
        <w:t xml:space="preserve"> to </w:t>
      </w:r>
      <w:r>
        <w:rPr>
          <w:rFonts w:ascii="Times New Roman" w:hAnsi="Times New Roman"/>
          <w:b/>
          <w:i w:val="false"/>
          <w:color w:val="000000"/>
          <w:sz w:val="22"/>
        </w:rPr>
        <w:t>604.44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761—604.45</w:t>
      </w:r>
      <w:r>
        <w:rPr>
          <w:rFonts w:ascii="Times New Roman" w:hAnsi="Times New Roman"/>
          <w:b/>
          <w:i w:val="false"/>
          <w:color w:val="000000"/>
          <w:sz w:val="22"/>
        </w:rPr>
        <w:t xml:space="preserve">(321)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A person whose license has been suspended or denied for failure to pass a required examination or reexamination shall meet the vision standards for licensing, pass the required knowledge examination(s), and pass the required driving test(s) before an Iowa license will be issued.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761—604.46</w:t>
      </w:r>
      <w:r>
        <w:rPr>
          <w:rFonts w:ascii="Times New Roman" w:hAnsi="Times New Roman"/>
          <w:b w:val="false"/>
          <w:i w:val="false"/>
          <w:color w:val="000000"/>
          <w:sz w:val="22"/>
        </w:rPr>
        <w:t xml:space="preserve"> to </w:t>
      </w:r>
      <w:r>
        <w:rPr>
          <w:rFonts w:ascii="Times New Roman" w:hAnsi="Times New Roman"/>
          <w:b/>
          <w:i w:val="false"/>
          <w:color w:val="000000"/>
          <w:sz w:val="22"/>
        </w:rPr>
        <w:t>604.49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761—604.50</w:t>
      </w:r>
      <w:r>
        <w:rPr>
          <w:rFonts w:ascii="Times New Roman" w:hAnsi="Times New Roman"/>
          <w:b/>
          <w:i w:val="false"/>
          <w:color w:val="000000"/>
          <w:sz w:val="22"/>
        </w:rPr>
        <w:t xml:space="preserve">(321) </w:t>
      </w:r>
      <w:r>
        <w:rPr>
          <w:rFonts w:ascii="Times New Roman" w:hAnsi="Times New Roman"/>
          <w:b/>
          <w:i w:val="false"/>
          <w:color w:val="000000"/>
          <w:sz w:val="22"/>
        </w:rPr>
        <w:t xml:space="preserve">Special reexaminations.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604.50(1)</w:t>
      </w:r>
      <w:r>
        <w:rPr>
          <w:rFonts w:ascii="Times New Roman" w:hAnsi="Times New Roman"/>
          <w:b w:val="false"/>
          <w:i w:val="false"/>
          <w:color w:val="000000"/>
          <w:sz w:val="22"/>
        </w:rPr>
        <w:t> </w:t>
      </w:r>
      <w:r>
        <w:rPr>
          <w:rFonts w:ascii="Times New Roman" w:hAnsi="Times New Roman"/>
          <w:b w:val="false"/>
          <w:i w:val="false"/>
          <w:color w:val="000000"/>
          <w:sz w:val="22"/>
        </w:rPr>
        <w:t>As provided in Iowa Code section 321.186, the department may require a special reexamination of any licensee. The reexamination may consist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Cognitive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Knowledge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Driving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604.50(2)</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a fatal motor vehicle accident and the investigating officer’s report of the accident indicates the licensee contributed to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two accidents within a three-year period and the investigating officer’s report of each accident lists one of the following “Driver/Vehicle Related Contributing Circumstances”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Ran traffic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Ran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Passing, interfered with other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Left of center, not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at uncontrolled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from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from yield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making left 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yield right-of-way to pedestrian.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have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has been involved in an accident and the investigating officer’s report lists a driver condition for the licensee of “fatigue or asleep.”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a licensee who is 65 years of age or older has been involved in an accident and information in the investigating officer’s or the person’s own report of the accident indicates the need for reexamination. A circumstance that may indicate a need for reexamination includes, but is not limited to,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made a left turn that resulted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stop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yield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an uncontrolled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failed to yield the right-of-way at a traffic control signal.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licensee’s vision may be a contributing factor to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a physical disability-related license restriction other than “corrective lenses” and the accident involved one of the circumstances listed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“f”</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lists a driver condition for the licensee of “loss of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investigating officer’s report lists a driver condition for the licensee of “illness which resulted in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604.50(6)</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a special reexamination when the department receives an accident report or a recommendation by a peace officer, a court, or a properly documented citizen’s request. A factor that may indicate a need for reexamination includes, but is not limited to,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consciousness.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Confusion, disorientation or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Inability to maintain a vehicle in the proper lane.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Repeatedly ignoring traffic control devices in a nonchase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interact safely with other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Inability to maintain consistent speed when no reaction to other vehicles or pedestrians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Illness which resulted in an accident.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9">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5048C</w:t>
      </w:r>
      <w:r>
        <w:rPr>
          <w:rFonts w:ascii="Times New Roman" w:hAnsi="Times New Roman"/>
          <w:b w:val="false"/>
          <w:i w:val="false"/>
          <w:color w:val="000000"/>
          <w:sz w:val="16"/>
        </w:rPr>
        <w:t>, IAB 6/3/20, effective 7/8/20</w:t>
      </w:r>
      <w:r>
        <w:rPr>
          <w:rFonts w:ascii="Times New Roman" w:hAnsi="Times New Roman"/>
          <w:b w:val="false"/>
          <w:i w:val="false"/>
          <w:color w:val="000000"/>
          <w:sz w:val="16"/>
        </w:rPr>
        <w:t xml:space="preserve">; </w:t>
      </w:r>
      <w:r>
        <w:rPr>
          <w:rFonts w:ascii="Times New Roman" w:hAnsi="Times New Roman"/>
          <w:b/>
          <w:i w:val="false"/>
          <w:color w:val="000000"/>
          <w:sz w:val="16"/>
        </w:rPr>
        <w:t>ARC 5495C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12/28/76, Notice 11/3/76—published 1/12/77, effective 2/16/77]</w:t>
      </w:r>
    </w:p>
    <w:p>
      <w:pPr>
        <w:spacing w:before="0" w:after="0"/>
        <w:ind w:left="120"/>
        <w:jc w:val="center"/>
      </w:pPr>
      <w:r>
        <w:rPr>
          <w:rFonts w:ascii="Times New Roman" w:hAnsi="Times New Roman"/>
          <w:b w:val="false"/>
          <w:i w:val="false"/>
          <w:color w:val="000000"/>
          <w:sz w:val="21"/>
        </w:rPr>
        <w:t>[Filed 8/25/80, Notice 7/9/80—published 9/17/80, effective 10/22/80]</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1/20/88, Notice 12/2/87—published 2/10/88, effective 3/16/88]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4/12/00 after Notice 2/23/00—published 5/3/00, effective 4/14/00]</w:t>
      </w:r>
    </w:p>
    <w:p>
      <w:pPr>
        <w:spacing w:before="0" w:after="0"/>
        <w:ind w:left="120"/>
        <w:jc w:val="center"/>
      </w:pPr>
      <w:r>
        <w:rPr>
          <w:rFonts w:ascii="Times New Roman" w:hAnsi="Times New Roman"/>
          <w:b w:val="false"/>
          <w:i w:val="false"/>
          <w:color w:val="000000"/>
          <w:sz w:val="21"/>
        </w:rPr>
        <w:t>[Filed 5/3/00, Notice 3/8/00—published 5/31/00, effective 7/5/00]</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1612C</w:t>
      </w:r>
      <w:r>
        <w:rPr>
          <w:rFonts w:ascii="Times New Roman" w:hAnsi="Times New Roman"/>
          <w:b w:val="false"/>
          <w:i w:val="false"/>
          <w:color w:val="000000"/>
          <w:sz w:val="21"/>
        </w:rPr>
        <w:t xml:space="preserve"> (Notice ARC 1526C,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5048C</w:t>
      </w:r>
      <w:r>
        <w:rPr>
          <w:rFonts w:ascii="Times New Roman" w:hAnsi="Times New Roman"/>
          <w:b w:val="false"/>
          <w:i w:val="false"/>
          <w:color w:val="000000"/>
          <w:sz w:val="21"/>
        </w:rPr>
        <w:t xml:space="preserve"> (Notice ARC 4995C, IAB 3/25/20)</w:t>
      </w:r>
      <w:r>
        <w:rPr>
          <w:rFonts w:ascii="Times New Roman" w:hAnsi="Times New Roman"/>
          <w:b w:val="false"/>
          <w:i w:val="false"/>
          <w:color w:val="000000"/>
          <w:sz w:val="21"/>
        </w:rPr>
        <w:t>, IAB 6/3/20, effective 7/8/20]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6059C</w:t>
      </w:r>
      <w:r>
        <w:rPr>
          <w:rFonts w:ascii="Times New Roman" w:hAnsi="Times New Roman"/>
          <w:b w:val="false"/>
          <w:i w:val="false"/>
          <w:color w:val="000000"/>
          <w:sz w:val="21"/>
        </w:rPr>
        <w:t xml:space="preserve"> (Notice ARC 5924C,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[Editorial change: IAC Supplement 12/28/22]</w:t>
      </w:r>
    </w:p>
    <w:p>
      <w:pPr>
        <w:pBdr>
          <w:bottom w:space="2"/>
        </w:pBdr>
        <w:spacing w:before="0" w:after="0"/>
        <w:ind w:left="120"/>
        <w:jc w:val="both"/>
      </w:pPr>
      <w:r>
        <w:rPr>
          <w:rFonts w:ascii="Times New Roman" w:hAnsi="Times New Roman"/>
          <w:b w:val="false"/>
          <w:i w:val="false"/>
          <w:color w:val="000000"/>
          <w:sz w:val="22"/>
        </w:rPr>
        <w:t>Effective date of 604.11(2) and 604.13(2)</w:t>
      </w:r>
      <w:r>
        <w:rPr>
          <w:rFonts w:ascii="Times New Roman" w:hAnsi="Times New Roman"/>
          <w:b w:val="false"/>
          <w:i/>
          <w:color w:val="000000"/>
          <w:sz w:val="22"/>
        </w:rPr>
        <w:t>“b”</w:t>
      </w:r>
      <w:r>
        <w:rPr>
          <w:rFonts w:ascii="Times New Roman" w:hAnsi="Times New Roman"/>
          <w:b w:val="false"/>
          <w:i w:val="false"/>
          <w:color w:val="000000"/>
          <w:sz w:val="22"/>
        </w:rPr>
        <w:t xml:space="preserve"> delayed until adjournment of the 1988 Session of the General Assembly pursuant to Iowa Code section </w:t>
      </w:r>
      <w:hyperlink r:id="rId82">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June 1987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607.pdf" Type="http://schemas.openxmlformats.org/officeDocument/2006/relationships/hyperlink" Id="rId5"/>
    <Relationship TargetMode="External" Target="https://www.legis.iowa.gov/docs/ico/chapter/321.2.pdf" Type="http://schemas.openxmlformats.org/officeDocument/2006/relationships/hyperlink" Id="rId6"/>
    <Relationship TargetMode="External" Target="https://www.legis.iowa.gov/docs/ico/chapter/321.3.pdf" Type="http://schemas.openxmlformats.org/officeDocument/2006/relationships/hyperlink" Id="rId7"/>
    <Relationship TargetMode="External" Target="https://www.legis.iowa.gov/docs/ico/chapter/321.13.pdf" Type="http://schemas.openxmlformats.org/officeDocument/2006/relationships/hyperlink" Id="rId8"/>
    <Relationship TargetMode="External" Target="https://www.legis.iowa.gov/docs/ico/chapter/321.177.pdf" Type="http://schemas.openxmlformats.org/officeDocument/2006/relationships/hyperlink" Id="rId9"/>
    <Relationship TargetMode="External" Target="https://www.legis.iowa.gov/docs/ico/chapter/321.186.pdf" Type="http://schemas.openxmlformats.org/officeDocument/2006/relationships/hyperlink" Id="rId10"/>
    <Relationship TargetMode="External" Target="https://www.legis.iowa.gov/docs/ico/chapter/321.174.pdf" Type="http://schemas.openxmlformats.org/officeDocument/2006/relationships/hyperlink" Id="rId11"/>
    <Relationship TargetMode="External" Target="https://www.legis.iowa.gov/docs/ico/chapter/321.186.pdf" Type="http://schemas.openxmlformats.org/officeDocument/2006/relationships/hyperlink" Id="rId12"/>
    <Relationship TargetMode="External" Target="http://www.iowadot.gov" Type="http://schemas.openxmlformats.org/officeDocument/2006/relationships/hyperlink" Id="rId13"/>
    <Relationship TargetMode="External" Target="http://www.iowadot.gov"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321.186.pdf" Type="http://schemas.openxmlformats.org/officeDocument/2006/relationships/hyperlink" Id="rId16"/>
    <Relationship TargetMode="External" Target="https://www.legis.iowa.gov/docs/ico/chapter/321.186A.pdf" Type="http://schemas.openxmlformats.org/officeDocument/2006/relationships/hyperlink" Id="rId17"/>
    <Relationship TargetMode="External" Target="https://www.legis.iowa.gov/docs/iac/rule/761.605.25.pdf" Type="http://schemas.openxmlformats.org/officeDocument/2006/relationships/hyperlink" Id="rId18"/>
    <Relationship TargetMode="External" Target="https://www.legis.iowa.gov/docs/ico/chapter/321.186.pdf" Type="http://schemas.openxmlformats.org/officeDocument/2006/relationships/hyperlink" Id="rId19"/>
    <Relationship TargetMode="External" Target="https://www.legis.iowa.gov/docs/ico/chapter/321.186A.pdf" Type="http://schemas.openxmlformats.org/officeDocument/2006/relationships/hyperlink" Id="rId20"/>
    <Relationship TargetMode="External" Target="https://www.legis.iowa.gov/docs/ico/chapter/321.196.pdf" Type="http://schemas.openxmlformats.org/officeDocument/2006/relationships/hyperlink" Id="rId21"/>
    <Relationship TargetMode="External" Target="https://www.legis.iowa.gov/docs/ico/chapter/321.186.pdf" Type="http://schemas.openxmlformats.org/officeDocument/2006/relationships/hyperlink" Id="rId22"/>
    <Relationship TargetMode="External" Target="https://www.legis.iowa.gov/docs/ico/chapter/321.193.pdf" Type="http://schemas.openxmlformats.org/officeDocument/2006/relationships/hyperlink" Id="rId23"/>
    <Relationship TargetMode="External" Target="https://www.legis.iowa.gov/docs/ico/chapter/321.196.pdf" Type="http://schemas.openxmlformats.org/officeDocument/2006/relationships/hyperlink" Id="rId24"/>
    <Relationship TargetMode="External" Target="https://www.legis.iowa.gov/docs/iac/rule/761.604.10.pdf" Type="http://schemas.openxmlformats.org/officeDocument/2006/relationships/hyperlink" Id="rId25"/>
    <Relationship TargetMode="External" Target="https://www.legis.iowa.gov/docs/ico/chapter/321.181.pdf" Type="http://schemas.openxmlformats.org/officeDocument/2006/relationships/hyperlink" Id="rId26"/>
    <Relationship TargetMode="External" Target="https://www.legis.iowa.gov/docs/ico/chapter/321.186.pdf" Type="http://schemas.openxmlformats.org/officeDocument/2006/relationships/hyperlink" Id="rId27"/>
    <Relationship TargetMode="External" Target="https://www.legis.iowa.gov/docs/ico/chapter/321.186A.pdf" Type="http://schemas.openxmlformats.org/officeDocument/2006/relationships/hyperlink" Id="rId28"/>
    <Relationship TargetMode="External" Target="https://www.legis.iowa.gov/docs/ico/chapter/321.193.pdf" Type="http://schemas.openxmlformats.org/officeDocument/2006/relationships/hyperlink" Id="rId29"/>
    <Relationship TargetMode="External" Target="https://www.legis.iowa.gov/docs/ico/chapter/321.196.pdf" Type="http://schemas.openxmlformats.org/officeDocument/2006/relationships/hyperlink" Id="rId30"/>
    <Relationship TargetMode="External" Target="https://www.legis.iowa.gov/docs/iac/rule/761.604.13.pdf" Type="http://schemas.openxmlformats.org/officeDocument/2006/relationships/hyperlink" Id="rId31"/>
    <Relationship TargetMode="External" Target="https://www.legis.iowa.gov/docs/iac/rule/761.604.13.pdf" Type="http://schemas.openxmlformats.org/officeDocument/2006/relationships/hyperlink" Id="rId32"/>
    <Relationship TargetMode="External" Target="https://www.legis.iowa.gov/docs/iac/rule/761.604.13.pdf" Type="http://schemas.openxmlformats.org/officeDocument/2006/relationships/hyperlink" Id="rId33"/>
    <Relationship TargetMode="External" Target="https://www.legis.iowa.gov/docs/iac/rule/761.604.11.pdf" Type="http://schemas.openxmlformats.org/officeDocument/2006/relationships/hyperlink" Id="rId34"/>
    <Relationship TargetMode="External" Target="https://www.legis.iowa.gov/docs/iac/rule/761.604.13.pdf" Type="http://schemas.openxmlformats.org/officeDocument/2006/relationships/hyperlink" Id="rId35"/>
    <Relationship TargetMode="External" Target="https://www.legis.iowa.gov/docs/ico/chapter/321.186.pdf" Type="http://schemas.openxmlformats.org/officeDocument/2006/relationships/hyperlink" Id="rId36"/>
    <Relationship TargetMode="External" Target="https://www.legis.iowa.gov/docs/ico/chapter/321.186A.pdf" Type="http://schemas.openxmlformats.org/officeDocument/2006/relationships/hyperlink" Id="rId37"/>
    <Relationship TargetMode="External" Target="https://www.legis.iowa.gov/docs/ico/chapter/321.193.pdf" Type="http://schemas.openxmlformats.org/officeDocument/2006/relationships/hyperlink" Id="rId38"/>
    <Relationship TargetMode="External" Target="https://www.legis.iowa.gov/docs/ico/chapter/321.196.pdf" Type="http://schemas.openxmlformats.org/officeDocument/2006/relationships/hyperlink" Id="rId39"/>
    <Relationship TargetMode="External" Target="https://www.legis.iowa.gov/docs/ico/chapter/321.186.pdf" Type="http://schemas.openxmlformats.org/officeDocument/2006/relationships/hyperlink" Id="rId40"/>
    <Relationship TargetMode="External" Target="https://www.legis.iowa.gov/docs/iac/rule/761.604.21.pdf" Type="http://schemas.openxmlformats.org/officeDocument/2006/relationships/hyperlink" Id="rId41"/>
    <Relationship TargetMode="External" Target="https://www.legis.iowa.gov/docs/ico/chapter/321.1.pdf" Type="http://schemas.openxmlformats.org/officeDocument/2006/relationships/hyperlink" Id="rId42"/>
    <Relationship TargetMode="External" Target="https://www.legis.iowa.gov/docs/ico/chapter/321.180.pdf" Type="http://schemas.openxmlformats.org/officeDocument/2006/relationships/hyperlink" Id="rId43"/>
    <Relationship TargetMode="External" Target="https://www.legis.iowa.gov/docs/ico/chapter/321.180A.pdf" Type="http://schemas.openxmlformats.org/officeDocument/2006/relationships/hyperlink" Id="rId44"/>
    <Relationship TargetMode="External" Target="https://www.legis.iowa.gov/docs/ico/chapter/321.180B.pdf" Type="http://schemas.openxmlformats.org/officeDocument/2006/relationships/hyperlink" Id="rId45"/>
    <Relationship TargetMode="External" Target="https://www.legis.iowa.gov/docs/ico/chapter/321.186.pdf" Type="http://schemas.openxmlformats.org/officeDocument/2006/relationships/hyperlink" Id="rId46"/>
    <Relationship TargetMode="External" Target="https://www.legis.iowa.gov/docs/ico/chapter/321.189.pdf" Type="http://schemas.openxmlformats.org/officeDocument/2006/relationships/hyperlink" Id="rId47"/>
    <Relationship TargetMode="External" Target="https://www.legis.iowa.gov/docs/ico/chapter/321.196.pdf" Type="http://schemas.openxmlformats.org/officeDocument/2006/relationships/hyperlink" Id="rId48"/>
    <Relationship TargetMode="External" Target="https://www.legis.iowa.gov/docs/ico/chapter/321.198.pdf" Type="http://schemas.openxmlformats.org/officeDocument/2006/relationships/hyperlink" Id="rId49"/>
    <Relationship TargetMode="External" Target="https://www.legis.iowa.gov/docs/iac/rule/761.604.2.pdf" Type="http://schemas.openxmlformats.org/officeDocument/2006/relationships/hyperlink" Id="rId50"/>
    <Relationship TargetMode="External" Target="https://www.legis.iowa.gov/docs/ico/chapter/321.174.pdf" Type="http://schemas.openxmlformats.org/officeDocument/2006/relationships/hyperlink" Id="rId51"/>
    <Relationship TargetMode="External" Target="https://www.legis.iowa.gov/docs/ico/chapter/321.186.pdf" Type="http://schemas.openxmlformats.org/officeDocument/2006/relationships/hyperlink" Id="rId52"/>
    <Relationship TargetMode="External" Target="https://www.legis.iowa.gov/docs/ico/chapter/321.1.pdf" Type="http://schemas.openxmlformats.org/officeDocument/2006/relationships/hyperlink" Id="rId53"/>
    <Relationship TargetMode="External" Target="https://www.legis.iowa.gov/docs/iac/rule/761.605.4.pdf" Type="http://schemas.openxmlformats.org/officeDocument/2006/relationships/hyperlink" Id="rId54"/>
    <Relationship TargetMode="External" Target="https://www.legis.iowa.gov/docs/iac/rule/761.604.31.pdf" Type="http://schemas.openxmlformats.org/officeDocument/2006/relationships/hyperlink" Id="rId55"/>
    <Relationship TargetMode="External" Target="https://www.legis.iowa.gov/docs/iac/rule/761.634.11.pdf" Type="http://schemas.openxmlformats.org/officeDocument/2006/relationships/hyperlink" Id="rId56"/>
    <Relationship TargetMode="External" Target="https://www.legis.iowa.gov/docs/ico/chapter/321.1.pdf" Type="http://schemas.openxmlformats.org/officeDocument/2006/relationships/hyperlink" Id="rId57"/>
    <Relationship TargetMode="External" Target="https://www.legis.iowa.gov/docs/ico/chapter/321.174.pdf" Type="http://schemas.openxmlformats.org/officeDocument/2006/relationships/hyperlink" Id="rId58"/>
    <Relationship TargetMode="External" Target="https://www.legis.iowa.gov/docs/ico/chapter/321.178.pdf" Type="http://schemas.openxmlformats.org/officeDocument/2006/relationships/hyperlink" Id="rId59"/>
    <Relationship TargetMode="External" Target="https://www.legis.iowa.gov/docs/ico/chapter/321.178A.pdf" Type="http://schemas.openxmlformats.org/officeDocument/2006/relationships/hyperlink" Id="rId60"/>
    <Relationship TargetMode="External" Target="https://www.legis.iowa.gov/docs/ico/chapter/321.180.pdf" Type="http://schemas.openxmlformats.org/officeDocument/2006/relationships/hyperlink" Id="rId61"/>
    <Relationship TargetMode="External" Target="https://www.legis.iowa.gov/docs/ico/chapter/321.180A.pdf" Type="http://schemas.openxmlformats.org/officeDocument/2006/relationships/hyperlink" Id="rId62"/>
    <Relationship TargetMode="External" Target="https://www.legis.iowa.gov/docs/ico/chapter/321.180B.pdf" Type="http://schemas.openxmlformats.org/officeDocument/2006/relationships/hyperlink" Id="rId63"/>
    <Relationship TargetMode="External" Target="https://www.legis.iowa.gov/docs/ico/chapter/321.186.pdf" Type="http://schemas.openxmlformats.org/officeDocument/2006/relationships/hyperlink" Id="rId64"/>
    <Relationship TargetMode="External" Target="https://www.legis.iowa.gov/docs/ico/chapter/321.189.pdf" Type="http://schemas.openxmlformats.org/officeDocument/2006/relationships/hyperlink" Id="rId65"/>
    <Relationship TargetMode="External" Target="https://www.legis.iowa.gov/docs/ico/chapter/321.193.pdf" Type="http://schemas.openxmlformats.org/officeDocument/2006/relationships/hyperlink" Id="rId66"/>
    <Relationship TargetMode="External" Target="https://www.legis.iowa.gov/docs/ico/chapter/321.196.pdf" Type="http://schemas.openxmlformats.org/officeDocument/2006/relationships/hyperlink" Id="rId67"/>
    <Relationship TargetMode="External" Target="https://www.legis.iowa.gov/docs/ico/chapter/321.198.pdf" Type="http://schemas.openxmlformats.org/officeDocument/2006/relationships/hyperlink" Id="rId68"/>
    <Relationship TargetMode="External" Target="https://www.legis.iowa.gov/docs/ico/chapter/321.1.pdf" Type="http://schemas.openxmlformats.org/officeDocument/2006/relationships/hyperlink" Id="rId69"/>
    <Relationship TargetMode="External" Target="https://www.legis.iowa.gov/docs/iac/rule/761.615.4.pdf" Type="http://schemas.openxmlformats.org/officeDocument/2006/relationships/hyperlink" Id="rId70"/>
    <Relationship TargetMode="External" Target="https://www.legis.iowa.gov/docs/iac/rule/761.615.14.pdf" Type="http://schemas.openxmlformats.org/officeDocument/2006/relationships/hyperlink" Id="rId71"/>
    <Relationship TargetMode="External" Target="https://www.legis.iowa.gov/docs/iac/rule/761.615.38.pdf" Type="http://schemas.openxmlformats.org/officeDocument/2006/relationships/hyperlink" Id="rId72"/>
    <Relationship TargetMode="External" Target="https://www.legis.iowa.gov/docs/ico/chapter/17A.pdf" Type="http://schemas.openxmlformats.org/officeDocument/2006/relationships/hyperlink" Id="rId73"/>
    <Relationship TargetMode="External" Target="https://www.legis.iowa.gov/docs/ico/chapter/321.177.pdf" Type="http://schemas.openxmlformats.org/officeDocument/2006/relationships/hyperlink" Id="rId74"/>
    <Relationship TargetMode="External" Target="https://www.legis.iowa.gov/docs/ico/chapter/321.180A.pdf" Type="http://schemas.openxmlformats.org/officeDocument/2006/relationships/hyperlink" Id="rId75"/>
    <Relationship TargetMode="External" Target="https://www.legis.iowa.gov/docs/ico/chapter/321.210.pdf" Type="http://schemas.openxmlformats.org/officeDocument/2006/relationships/hyperlink" Id="rId76"/>
    <Relationship TargetMode="External" Target="https://www.legis.iowa.gov/docs/ico/chapter/321.177.pdf" Type="http://schemas.openxmlformats.org/officeDocument/2006/relationships/hyperlink" Id="rId77"/>
    <Relationship TargetMode="External" Target="https://www.legis.iowa.gov/docs/ico/chapter/321.186.pdf" Type="http://schemas.openxmlformats.org/officeDocument/2006/relationships/hyperlink" Id="rId78"/>
    <Relationship TargetMode="External" Target="https://www.legis.iowa.gov/docs/ico/chapter/321.177.pdf" Type="http://schemas.openxmlformats.org/officeDocument/2006/relationships/hyperlink" Id="rId79"/>
    <Relationship TargetMode="External" Target="https://www.legis.iowa.gov/docs/ico/chapter/321.186.pdf" Type="http://schemas.openxmlformats.org/officeDocument/2006/relationships/hyperlink" Id="rId80"/>
    <Relationship TargetMode="External" Target="https://www.legis.iowa.gov/docs/ico/chapter/321.210.pdf" Type="http://schemas.openxmlformats.org/officeDocument/2006/relationships/hyperlink" Id="rId81"/>
    <Relationship TargetMode="External" Target="https://www.legis.iowa.gov/docs/ico/chapter/17A.8.pdf" Type="http://schemas.openxmlformats.org/officeDocument/2006/relationships/hyperlink"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