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DRIVER LICENSES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600</w:t>
      </w:r>
    </w:p>
    <w:p>
      <w:pPr>
        <w:spacing w:before="0" w:after="0"/>
        <w:ind w:left="120"/>
        <w:jc w:val="center"/>
      </w:pPr>
      <w:r>
        <w:rPr>
          <w:rFonts w:ascii="Times New Roman" w:hAnsi="Times New Roman"/>
          <w:b w:val="false"/>
          <w:i w:val="false"/>
          <w:color w:val="000000"/>
          <w:sz w:val="21"/>
        </w:rPr>
        <w:t>GENERAL INFORMATION</w:t>
      </w:r>
    </w:p>
    <w:p>
      <w:pPr>
        <w:spacing w:before="0" w:after="0"/>
        <w:ind w:left="120"/>
        <w:jc w:val="center"/>
      </w:pPr>
      <w:r>
        <w:rPr>
          <w:rFonts w:ascii="Times New Roman" w:hAnsi="Times New Roman"/>
          <w:b w:val="false"/>
          <w:i w:val="false"/>
          <w:color w:val="000000"/>
          <w:sz w:val="14"/>
        </w:rPr>
        <w:t>[Prior to 6/3/87, Transportation Department[820]—(07,C)Ch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761—600.1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the following definitions apply to the rules in </w:t>
      </w:r>
      <w:hyperlink r:id="rId6">
        <w:r>
          <w:rPr>
            <w:rStyle w:val="Hyperlink"/>
            <w:rFonts w:ascii="Times New Roman" w:hAnsi="Times New Roman"/>
            <w:b w:val="false"/>
            <w:i w:val="false"/>
            <w:color w:val="000000"/>
            <w:sz w:val="22"/>
          </w:rPr>
          <w:t>761—Chapters 600</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699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of the motor vehicle division” </w:t>
      </w:r>
      <w:r>
        <w:rPr>
          <w:rFonts w:ascii="Times New Roman" w:hAnsi="Times New Roman"/>
          <w:b w:val="false"/>
          <w:i w:val="false"/>
          <w:color w:val="000000"/>
          <w:sz w:val="22"/>
        </w:rPr>
        <w:t>includes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“driver’s license” as defined in Iowa Code section </w:t>
      </w:r>
      <w:hyperlink r:id="rId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(20A) unless the context otherwise requires.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0661C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761—600.2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Applications, forms and information concerning driver’s licensing are available at any driver’s license service center. Assistance is also available by mail from the Motor Vehicle Division, Iowa Department of Transportation, P.O. Box 9204, Des Moines, Iowa 50306-9204; in person at 6310 SE Convenience Blvd., Ankeny, Iowa; by telephone at (515)244-8725; by facsimile at (515)239-1837; or on the department’s website at </w:t>
      </w:r>
      <w:hyperlink r:id="rId10">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761—600.3</w:t>
      </w:r>
      <w:r>
        <w:rPr>
          <w:rFonts w:ascii="Times New Roman" w:hAnsi="Times New Roman"/>
          <w:b/>
          <w:i w:val="false"/>
          <w:color w:val="000000"/>
          <w:sz w:val="22"/>
        </w:rPr>
        <w:t xml:space="preserve">(321) </w:t>
      </w:r>
      <w:r>
        <w:rPr>
          <w:rFonts w:ascii="Times New Roman" w:hAnsi="Times New Roman"/>
          <w:b/>
          <w:i w:val="false"/>
          <w:color w:val="000000"/>
          <w:sz w:val="22"/>
        </w:rPr>
        <w:t xml:space="preserve">Seat belt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unable to wear a safety belt or safety harness for physical or medical reasons may obtain a form to be signed by the person’s health care provider licensed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432017, “Iowa Medical Safety Belt Exemption,” is available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600.3(2)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4">
        <w:r>
          <w:rPr>
            <w:rStyle w:val="Hyperlink"/>
            <w:rFonts w:ascii="Times New Roman" w:hAnsi="Times New Roman"/>
            <w:b w:val="false"/>
            <w:i w:val="false"/>
            <w:color w:val="000000"/>
            <w:sz w:val="22"/>
          </w:rPr>
          <w:t>321.445(1)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321.445(2)</w:t>
        </w:r>
      </w:hyperlink>
      <w:r>
        <w:rPr>
          <w:rFonts w:ascii="Times New Roman" w:hAnsi="Times New Roman"/>
          <w:b w:val="false"/>
          <w:i w:val="false"/>
          <w:color w:val="000000"/>
          <w:sz w:val="22"/>
        </w:rPr>
        <w:t xml:space="preserve"> shall not apply to the front seats and front seat passengers of motor vehicles owned, leased, rented or primarily used by a person with a physical disability who uses a collapsible wheelchair.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761—600.4</w:t>
      </w:r>
      <w:r>
        <w:rPr>
          <w:rFonts w:ascii="Times New Roman" w:hAnsi="Times New Roman"/>
          <w:b/>
          <w:i w:val="false"/>
          <w:color w:val="000000"/>
          <w:sz w:val="22"/>
        </w:rPr>
        <w:t xml:space="preserve">(252J,261,321) </w:t>
      </w:r>
      <w:r>
        <w:rPr>
          <w:rFonts w:ascii="Times New Roman" w:hAnsi="Times New Roman"/>
          <w:b/>
          <w:i w:val="false"/>
          <w:color w:val="000000"/>
          <w:sz w:val="22"/>
        </w:rPr>
        <w:t xml:space="preserve">Persons not to be licensed. </w:t>
      </w:r>
      <w:r>
        <w:rPr>
          <w:rFonts w:ascii="Times New Roman" w:hAnsi="Times New Roman"/>
          <w:b w:val="false"/>
          <w:i w:val="false"/>
          <w:color w:val="000000"/>
          <w:sz w:val="22"/>
        </w:rPr>
        <w:t xml:space="preserve">Rescinded </w:t>
      </w:r>
      <w:r>
        <w:rPr>
          <w:rFonts w:ascii="Times New Roman" w:hAnsi="Times New Roman"/>
          <w:b/>
          <w:i w:val="false"/>
          <w:color w:val="000000"/>
          <w:sz w:val="22"/>
        </w:rPr>
        <w:t>ARC 4586C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7/31/19</w:t>
      </w:r>
      <w:r>
        <w:rPr>
          <w:rFonts w:ascii="Times New Roman" w:hAnsi="Times New Roman"/>
          <w:b w:val="false"/>
          <w:i w:val="false"/>
          <w:color w:val="000000"/>
          <w:sz w:val="22"/>
        </w:rPr>
        <w:t>, effective 9/4/19. See rule 761—605.4(252J,321).</w:t>
      </w:r>
    </w:p>
    <w:p>
      <w:pPr>
        <w:spacing w:before="0" w:after="0"/>
        <w:ind w:left="120"/>
        <w:jc w:val="center"/>
      </w:pPr>
      <w:r>
        <w:rPr>
          <w:rFonts w:ascii="Times New Roman" w:hAnsi="Times New Roman"/>
          <w:b w:val="false"/>
          <w:i w:val="false"/>
          <w:color w:val="000000"/>
          <w:sz w:val="21"/>
        </w:rPr>
        <w:t>[</w:t>
      </w:r>
      <w:hyperlink r:id="rId17">
        <w:r>
          <w:rPr>
            <w:rStyle w:val="Hyperlink"/>
            <w:rFonts w:ascii="Times New Roman" w:hAnsi="Times New Roman"/>
            <w:b w:val="false"/>
            <w:i w:val="false"/>
            <w:color w:val="000000"/>
            <w:sz w:val="21"/>
          </w:rPr>
          <w:t>761—Chapter 600</w:t>
        </w:r>
      </w:hyperlink>
      <w:r>
        <w:rPr>
          <w:rFonts w:ascii="Times New Roman" w:hAnsi="Times New Roman"/>
          <w:b w:val="false"/>
          <w:i w:val="false"/>
          <w:color w:val="000000"/>
          <w:sz w:val="21"/>
        </w:rPr>
        <w:t xml:space="preserve"> appeared as Ch 13, Department of Public Safety, 1973 IDR;</w:t>
      </w:r>
    </w:p>
    <w:p>
      <w:pPr>
        <w:spacing w:before="0" w:after="0"/>
        <w:ind w:left="120"/>
        <w:jc w:val="center"/>
      </w:pPr>
      <w:r>
        <w:rPr>
          <w:rFonts w:ascii="Times New Roman" w:hAnsi="Times New Roman"/>
          <w:b w:val="false"/>
          <w:i w:val="false"/>
          <w:color w:val="000000"/>
          <w:sz w:val="21"/>
        </w:rPr>
        <w:t>amended July 1973, January 1974 and July 1974 Supplements]</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12/28/76, Notice 11/3/76—published 1/12/77, effective 2/16/77]</w:t>
      </w:r>
    </w:p>
    <w:p>
      <w:pPr>
        <w:spacing w:before="0" w:after="0"/>
        <w:ind w:left="120"/>
        <w:jc w:val="center"/>
      </w:pPr>
      <w:r>
        <w:rPr>
          <w:rFonts w:ascii="Times New Roman" w:hAnsi="Times New Roman"/>
          <w:b w:val="false"/>
          <w:i w:val="false"/>
          <w:color w:val="000000"/>
          <w:sz w:val="21"/>
        </w:rPr>
        <w:t>[Filed emergency 7/28/78—published 8/23/78, effective 8/1/78]</w:t>
      </w:r>
    </w:p>
    <w:p>
      <w:pPr>
        <w:spacing w:before="0" w:after="0"/>
        <w:ind w:left="120"/>
        <w:jc w:val="center"/>
      </w:pPr>
      <w:r>
        <w:rPr>
          <w:rFonts w:ascii="Times New Roman" w:hAnsi="Times New Roman"/>
          <w:b w:val="false"/>
          <w:i w:val="false"/>
          <w:color w:val="000000"/>
          <w:sz w:val="21"/>
        </w:rPr>
        <w:t>[Filed 2/8/79, Notice 12/27/78—published 3/7/79, effective 4/11/79]</w:t>
      </w:r>
    </w:p>
    <w:p>
      <w:pPr>
        <w:spacing w:before="0" w:after="0"/>
        <w:ind w:left="120"/>
        <w:jc w:val="center"/>
      </w:pPr>
      <w:r>
        <w:rPr>
          <w:rFonts w:ascii="Times New Roman" w:hAnsi="Times New Roman"/>
          <w:b w:val="false"/>
          <w:i w:val="false"/>
          <w:color w:val="000000"/>
          <w:sz w:val="21"/>
        </w:rPr>
        <w:t>[Filed 2/12/80, Notice 12/26/79—published 3/5/80, effective 4/9/80]</w:t>
      </w:r>
    </w:p>
    <w:p>
      <w:pPr>
        <w:spacing w:before="0" w:after="0"/>
        <w:ind w:left="120"/>
        <w:jc w:val="center"/>
      </w:pPr>
      <w:r>
        <w:rPr>
          <w:rFonts w:ascii="Times New Roman" w:hAnsi="Times New Roman"/>
          <w:b w:val="false"/>
          <w:i w:val="false"/>
          <w:color w:val="000000"/>
          <w:sz w:val="21"/>
        </w:rPr>
        <w:t>[Filed 2/27/80, Notice 1/9/80—published 3/19/80, effective 4/23/80]</w:t>
      </w:r>
    </w:p>
    <w:p>
      <w:pPr>
        <w:spacing w:before="0" w:after="0"/>
        <w:ind w:left="120"/>
        <w:jc w:val="center"/>
      </w:pPr>
      <w:r>
        <w:rPr>
          <w:rFonts w:ascii="Times New Roman" w:hAnsi="Times New Roman"/>
          <w:b w:val="false"/>
          <w:i w:val="false"/>
          <w:color w:val="000000"/>
          <w:sz w:val="21"/>
        </w:rPr>
        <w:t>[Filed 8/25/80, Notice 7/9/80—published 9/17/80, effective 10/22/80]</w:t>
      </w:r>
    </w:p>
    <w:p>
      <w:pPr>
        <w:spacing w:before="0" w:after="0"/>
        <w:ind w:left="120"/>
        <w:jc w:val="center"/>
      </w:pPr>
      <w:r>
        <w:rPr>
          <w:rFonts w:ascii="Times New Roman" w:hAnsi="Times New Roman"/>
          <w:b w:val="false"/>
          <w:i w:val="false"/>
          <w:color w:val="000000"/>
          <w:sz w:val="21"/>
        </w:rPr>
        <w:t>[Filed 4/17/81, Notice 3/4/81—published 5/13/81, effective 6/17/81]</w:t>
      </w:r>
    </w:p>
    <w:p>
      <w:pPr>
        <w:spacing w:before="0" w:after="0"/>
        <w:ind w:left="120"/>
        <w:jc w:val="center"/>
      </w:pPr>
      <w:r>
        <w:rPr>
          <w:rFonts w:ascii="Times New Roman" w:hAnsi="Times New Roman"/>
          <w:b w:val="false"/>
          <w:i w:val="false"/>
          <w:color w:val="000000"/>
          <w:sz w:val="21"/>
        </w:rPr>
        <w:t>[Filed 5/19/81, Notice 4/1/81—published 6/10/81, effective 7/15/81]</w:t>
      </w:r>
    </w:p>
    <w:p>
      <w:pPr>
        <w:spacing w:before="0" w:after="0"/>
        <w:ind w:left="120"/>
        <w:jc w:val="center"/>
      </w:pPr>
      <w:r>
        <w:rPr>
          <w:rFonts w:ascii="Times New Roman" w:hAnsi="Times New Roman"/>
          <w:b w:val="false"/>
          <w:i w:val="false"/>
          <w:color w:val="000000"/>
          <w:sz w:val="21"/>
        </w:rPr>
        <w:t>[Filed emergency 9/17/81—published 10/14/81, effective 9/17/81]</w:t>
      </w:r>
    </w:p>
    <w:p>
      <w:pPr>
        <w:spacing w:before="0" w:after="0"/>
        <w:ind w:left="120"/>
        <w:jc w:val="center"/>
      </w:pPr>
      <w:r>
        <w:rPr>
          <w:rFonts w:ascii="Times New Roman" w:hAnsi="Times New Roman"/>
          <w:b w:val="false"/>
          <w:i w:val="false"/>
          <w:color w:val="000000"/>
          <w:sz w:val="21"/>
        </w:rPr>
        <w:t>[Filed 10/2/81, Notice 8/19/81—published 10/28/81, effective 12/2/81]</w:t>
      </w:r>
    </w:p>
    <w:p>
      <w:pPr>
        <w:spacing w:before="0" w:after="0"/>
        <w:ind w:left="120"/>
        <w:jc w:val="center"/>
      </w:pPr>
      <w:r>
        <w:rPr>
          <w:rFonts w:ascii="Times New Roman" w:hAnsi="Times New Roman"/>
          <w:b w:val="false"/>
          <w:i w:val="false"/>
          <w:color w:val="000000"/>
          <w:sz w:val="21"/>
        </w:rPr>
        <w:t>[Filed emergency 5/27/82—published 6/23/82, effective 7/1/82]</w:t>
      </w:r>
    </w:p>
    <w:p>
      <w:pPr>
        <w:spacing w:before="0" w:after="0"/>
        <w:ind w:left="120"/>
        <w:jc w:val="center"/>
      </w:pPr>
      <w:r>
        <w:rPr>
          <w:rFonts w:ascii="Times New Roman" w:hAnsi="Times New Roman"/>
          <w:b w:val="false"/>
          <w:i w:val="false"/>
          <w:color w:val="000000"/>
          <w:sz w:val="21"/>
        </w:rPr>
        <w:t>[Filed 12/1/82, Notice 6/23/82—published 12/22/82, effective 1/26/83]</w:t>
      </w:r>
    </w:p>
    <w:p>
      <w:pPr>
        <w:spacing w:before="0" w:after="0"/>
        <w:ind w:left="120"/>
        <w:jc w:val="center"/>
      </w:pPr>
      <w:r>
        <w:rPr>
          <w:rFonts w:ascii="Times New Roman" w:hAnsi="Times New Roman"/>
          <w:b w:val="false"/>
          <w:i w:val="false"/>
          <w:color w:val="000000"/>
          <w:sz w:val="21"/>
        </w:rPr>
        <w:t>[Filed 12/1/82, Notice 10/13/82—published 12/22/82, effective 1/26/83]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6/20/84—published 7/18/84, effective 7/1/84]</w:t>
      </w:r>
    </w:p>
    <w:p>
      <w:pPr>
        <w:spacing w:before="0" w:after="0"/>
        <w:ind w:left="120"/>
        <w:jc w:val="center"/>
      </w:pPr>
      <w:r>
        <w:rPr>
          <w:rFonts w:ascii="Times New Roman" w:hAnsi="Times New Roman"/>
          <w:b w:val="false"/>
          <w:i w:val="false"/>
          <w:color w:val="000000"/>
          <w:sz w:val="21"/>
        </w:rPr>
        <w:t>[Filed 4/17/85, Notice 2/27/85—published 5/8/85, effective 6/12/85]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9/25/87, Notice 7/29/87—published 10/21/87, effective 11/25/87]</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0661C</w:t>
      </w:r>
      <w:r>
        <w:rPr>
          <w:rFonts w:ascii="Times New Roman" w:hAnsi="Times New Roman"/>
          <w:b w:val="false"/>
          <w:i w:val="false"/>
          <w:color w:val="000000"/>
          <w:sz w:val="21"/>
        </w:rPr>
        <w:t xml:space="preserve"> (Notice ARC 0571C,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[Editorial change: IAC Supplement 12/28/22]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761—600.13(321) delayed 70 days by the Administrative Rules Review Committee at its meeting held December 9, 1998. At its meeting held January 5, 1999, the Committee delayed the effective date until adjournment of the 1999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ac/chapter/761.600.pdf" Type="http://schemas.openxmlformats.org/officeDocument/2006/relationships/hyperlink" Id="rId6"/>
    <Relationship TargetMode="External" Target="https://www.legis.iowa.gov/docs/iac/chapter/761.699.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www.iowadot.gov"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ac/rule/761.321.445.pdf" Type="http://schemas.openxmlformats.org/officeDocument/2006/relationships/hyperlink" Id="rId14"/>
    <Relationship TargetMode="External" Target="https://www.legis.iowa.gov/docs/iac/rule/761.321.445.pdf" Type="http://schemas.openxmlformats.org/officeDocument/2006/relationships/hyperlink" Id="rId15"/>
    <Relationship TargetMode="External" Target="https://www.legis.iowa.gov/docs/ico/chapter/321.445.pdf" Type="http://schemas.openxmlformats.org/officeDocument/2006/relationships/hyperlink" Id="rId16"/>
    <Relationship TargetMode="External" Target="https://www.legis.iowa.gov/docs/iac/chapter/761.600.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