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524</w:t>
      </w:r>
    </w:p>
    <w:p>
      <w:pPr>
        <w:spacing w:before="0" w:after="0"/>
        <w:ind w:left="120"/>
        <w:jc w:val="center"/>
      </w:pPr>
      <w:r>
        <w:rPr>
          <w:rFonts w:ascii="Times New Roman" w:hAnsi="Times New Roman"/>
          <w:b w:val="false"/>
          <w:i w:val="false"/>
          <w:color w:val="000000"/>
          <w:sz w:val="21"/>
        </w:rPr>
        <w:t>FOR-HIRE INTRASTATE MOTOR CARRIER AUTHORITY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761—524.1</w:t>
      </w:r>
      <w:r>
        <w:rPr>
          <w:rFonts w:ascii="Times New Roman" w:hAnsi="Times New Roman"/>
          <w:b/>
          <w:i w:val="false"/>
          <w:color w:val="000000"/>
          <w:sz w:val="22"/>
        </w:rPr>
        <w:t xml:space="preserve">(325A) </w:t>
      </w:r>
      <w:r>
        <w:rPr>
          <w:rFonts w:ascii="Times New Roman" w:hAnsi="Times New Roman"/>
          <w:b/>
          <w:i w:val="false"/>
          <w:color w:val="000000"/>
          <w:sz w:val="22"/>
        </w:rPr>
        <w:t xml:space="preserve">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requirements concerning for-hire intrastate motor carriers as authorized by Iowa Code chapter </w:t>
      </w:r>
      <w:hyperlink r:id="rId5">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motor carriers of household goods, bulk liquid commodities, all other property, and passengers being transported for hire on any highway of this state other than a transportation network company or transportation network company driver as both are defined in Iowa Code section </w:t>
      </w:r>
      <w:hyperlink r:id="rId6">
        <w:r>
          <w:rPr>
            <w:rStyle w:val="Hyperlink"/>
            <w:rFonts w:ascii="Times New Roman" w:hAnsi="Times New Roman"/>
            <w:b w:val="false"/>
            <w:i w:val="false"/>
            <w:color w:val="000000"/>
            <w:sz w:val="22"/>
          </w:rPr>
          <w:t>321N.1</w:t>
        </w:r>
      </w:hyperlink>
      <w:r>
        <w:rPr>
          <w:rFonts w:ascii="Times New Roman" w:hAnsi="Times New Roman"/>
          <w:b w:val="false"/>
          <w:i w:val="false"/>
          <w:color w:val="000000"/>
          <w:sz w:val="22"/>
        </w:rPr>
        <w:t xml:space="preserve"> and provided for in 761—Chapter 540.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761—524.2</w:t>
      </w:r>
      <w:r>
        <w:rPr>
          <w:rFonts w:ascii="Times New Roman" w:hAnsi="Times New Roman"/>
          <w:b/>
          <w:i w:val="false"/>
          <w:color w:val="000000"/>
          <w:sz w:val="22"/>
        </w:rPr>
        <w:t xml:space="preserve">(325A)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motor carrier permits and motor carrier certificates are available by mail from the Vehicle and Motor Carrier Services Bureau, Iowa Department of Transportation, P.O. Box 10382, Des Moines, Iowa 50306-0382; in person at 6310 SE Convenience Blvd., Ankeny, Iowa; by telephone at (515)237-3268; by facsimile at (515)237-3225; or by email at </w:t>
      </w:r>
      <w:hyperlink r:id="rId7">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524.2(2)</w:t>
      </w:r>
      <w:r>
        <w:rPr>
          <w:rFonts w:ascii="Times New Roman" w:hAnsi="Times New Roman"/>
          <w:b w:val="false"/>
          <w:i w:val="false"/>
          <w:color w:val="000000"/>
          <w:sz w:val="22"/>
        </w:rPr>
        <w:t> </w:t>
      </w:r>
      <w:r>
        <w:rPr>
          <w:rFonts w:ascii="Times New Roman" w:hAnsi="Times New Roman"/>
          <w:b w:val="false"/>
          <w:i/>
          <w:color w:val="000000"/>
          <w:sz w:val="22"/>
        </w:rPr>
        <w:t xml:space="preserve">Waiver of rules. </w:t>
      </w:r>
      <w:r>
        <w:rPr>
          <w:rFonts w:ascii="Times New Roman" w:hAnsi="Times New Roman"/>
          <w:b w:val="false"/>
          <w:i w:val="false"/>
          <w:color w:val="000000"/>
          <w:sz w:val="22"/>
        </w:rPr>
        <w:t xml:space="preserve">In accordance with </w:t>
      </w:r>
      <w:hyperlink r:id="rId8">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the director of transportation may, in response to a petition, waive provisions of this chapter. A waiver shall not be granted unless the director finds that special or emergency circumstances exist.</w:t>
      </w:r>
    </w:p>
    <w:p>
      <w:pPr>
        <w:spacing w:before="0" w:after="0"/>
        <w:ind w:left="120"/>
        <w:jc w:val="both"/>
      </w:pPr>
      <w:r>
        <w:rPr>
          <w:rFonts w:ascii="Times New Roman" w:hAnsi="Times New Roman"/>
          <w:b w:val="false"/>
          <w:i/>
          <w:color w:val="000000"/>
          <w:sz w:val="22"/>
        </w:rPr>
        <w:t>“Special or emergency circumstances”</w:t>
      </w:r>
      <w:r>
        <w:rPr>
          <w:rFonts w:ascii="Times New Roman" w:hAnsi="Times New Roman"/>
          <w:b w:val="false"/>
          <w:i w:val="false"/>
          <w:color w:val="000000"/>
          <w:sz w:val="22"/>
        </w:rPr>
        <w:t xml:space="preserve"> 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hazards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524.2(3)</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against motor carriers pertaining to the provisions of this chapter shall be submitted in writing to the vehicle and motor carrier services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761—524.3</w:t>
      </w:r>
      <w:r>
        <w:rPr>
          <w:rFonts w:ascii="Times New Roman" w:hAnsi="Times New Roman"/>
          <w:b/>
          <w:i w:val="false"/>
          <w:color w:val="000000"/>
          <w:sz w:val="22"/>
        </w:rPr>
        <w:t xml:space="preserve">(325A) </w:t>
      </w:r>
      <w:r>
        <w:rPr>
          <w:rFonts w:ascii="Times New Roman" w:hAnsi="Times New Roman"/>
          <w:b/>
          <w:i w:val="false"/>
          <w:color w:val="000000"/>
          <w:sz w:val="22"/>
        </w:rPr>
        <w:t xml:space="preserve">Applications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 motor carrier permit or motor carrier certificate shall be made to the vehicle and motor carrier services bureau in the form and manner prescribed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An application for a motor carrier permit or motor carrier certificate shall be accompanied by the statutory application fee. This fee shall be paid by credit card or by cash, check or money order made payable to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524.3(3)</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documents. </w:t>
      </w:r>
      <w:r>
        <w:rPr>
          <w:rFonts w:ascii="Times New Roman" w:hAnsi="Times New Roman"/>
          <w:b w:val="false"/>
          <w:i w:val="false"/>
          <w:color w:val="000000"/>
          <w:sz w:val="22"/>
        </w:rPr>
        <w:t>An application for a motor carrier permit or motor carrier certificate must be accompanied by the following supporting documentation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Safety self-certification. (See </w:t>
      </w:r>
      <w:hyperlink r:id="rId9">
        <w:r>
          <w:rPr>
            <w:rStyle w:val="Hyperlink"/>
            <w:rFonts w:ascii="Times New Roman" w:hAnsi="Times New Roman"/>
            <w:b w:val="false"/>
            <w:i w:val="false"/>
            <w:color w:val="000000"/>
            <w:sz w:val="22"/>
          </w:rPr>
          <w:t>rule 761—524.9(325A)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A U.S. DOT number if required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statement, only for motor carriers of bulk liquid commodities (nondairy) and regular-route passengers. (See </w:t>
      </w:r>
      <w:hyperlink r:id="rId10">
        <w:r>
          <w:rPr>
            <w:rStyle w:val="Hyperlink"/>
            <w:rFonts w:ascii="Times New Roman" w:hAnsi="Times New Roman"/>
            <w:b w:val="false"/>
            <w:i w:val="false"/>
            <w:color w:val="000000"/>
            <w:sz w:val="22"/>
          </w:rPr>
          <w:t>rule 761—524.10(325A)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Tariff, only for motor carriers of household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documents identified in </w:t>
      </w:r>
      <w:hyperlink r:id="rId11">
        <w:r>
          <w:rPr>
            <w:rStyle w:val="Hyperlink"/>
            <w:rFonts w:ascii="Times New Roman" w:hAnsi="Times New Roman"/>
            <w:b w:val="false"/>
            <w:i w:val="false"/>
            <w:color w:val="000000"/>
            <w:sz w:val="22"/>
          </w:rPr>
          <w:t>761—subrule 380.7(2)</w:t>
        </w:r>
      </w:hyperlink>
      <w:r>
        <w:rPr>
          <w:rFonts w:ascii="Times New Roman" w:hAnsi="Times New Roman"/>
          <w:b w:val="false"/>
          <w:i w:val="false"/>
          <w:color w:val="000000"/>
          <w:sz w:val="22"/>
        </w:rPr>
        <w:t xml:space="preserve"> and any other documentation, if required by the department, necessary to assess the operational capabilities of any driverless-capable vehicles the motor carrier intends to operate, including for the purpose of determining whether to impose operational restrictions as authorized under rule </w:t>
      </w:r>
      <w:hyperlink r:id="rId12">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761—524.4</w:t>
      </w:r>
      <w:r>
        <w:rPr>
          <w:rFonts w:ascii="Times New Roman" w:hAnsi="Times New Roman"/>
          <w:b/>
          <w:i w:val="false"/>
          <w:color w:val="000000"/>
          <w:sz w:val="22"/>
        </w:rPr>
        <w:t xml:space="preserve">(325A) </w:t>
      </w:r>
      <w:r>
        <w:rPr>
          <w:rFonts w:ascii="Times New Roman" w:hAnsi="Times New Roman"/>
          <w:b/>
          <w:i w:val="false"/>
          <w:color w:val="000000"/>
          <w:sz w:val="22"/>
        </w:rPr>
        <w:t xml:space="preserve">Issuance of motor carrier permit or motor carrier certificate. </w:t>
      </w:r>
      <w:r>
        <w:rPr>
          <w:rFonts w:ascii="Times New Roman" w:hAnsi="Times New Roman"/>
          <w:b w:val="false"/>
          <w:i w:val="false"/>
          <w:color w:val="000000"/>
          <w:sz w:val="22"/>
        </w:rPr>
        <w:t>When all requirements are met, the department shall issue the motor carrier permit or certificate. The motor carrier shall make a copy of the permit or certificate and carry it in each motor vehicle at all times. The copy may be in either a physical or an electronic format as prescribed by the department. The permit or certificate shall be available for display to any peace officer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761—524.5</w:t>
      </w:r>
      <w:r>
        <w:rPr>
          <w:rFonts w:ascii="Times New Roman" w:hAnsi="Times New Roman"/>
          <w:b/>
          <w:i w:val="false"/>
          <w:color w:val="000000"/>
          <w:sz w:val="22"/>
        </w:rPr>
        <w:t xml:space="preserve">(325A) </w:t>
      </w:r>
      <w:r>
        <w:rPr>
          <w:rFonts w:ascii="Times New Roman" w:hAnsi="Times New Roman"/>
          <w:b/>
          <w:i w:val="false"/>
          <w:color w:val="000000"/>
          <w:sz w:val="22"/>
        </w:rPr>
        <w:t xml:space="preserve">Duplicate motor carrier permit or motor carrier certificate. </w:t>
      </w:r>
      <w:r>
        <w:rPr>
          <w:rFonts w:ascii="Times New Roman" w:hAnsi="Times New Roman"/>
          <w:b w:val="false"/>
          <w:i w:val="false"/>
          <w:color w:val="000000"/>
          <w:sz w:val="22"/>
        </w:rPr>
        <w:t>Written requests for a duplicate motor carrier permit or motor carrier certificate shall be sent to the vehicle and motor carrier services bureau. Requests shall include the carrier name and the carrier permit number, certificate number, or U.S. DOT number. Any motor carrier in good standing shall be issued a duplicate document upon payment of the required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761—524.6</w:t>
      </w:r>
      <w:r>
        <w:rPr>
          <w:rFonts w:ascii="Times New Roman" w:hAnsi="Times New Roman"/>
          <w:b/>
          <w:i w:val="false"/>
          <w:color w:val="000000"/>
          <w:sz w:val="22"/>
        </w:rPr>
        <w:t xml:space="preserve">(325A) </w:t>
      </w:r>
      <w:r>
        <w:rPr>
          <w:rFonts w:ascii="Times New Roman" w:hAnsi="Times New Roman"/>
          <w:b/>
          <w:i w:val="false"/>
          <w:color w:val="000000"/>
          <w:sz w:val="22"/>
        </w:rPr>
        <w:t xml:space="preserve">Amendment to a motor carrier permit or motor carrier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524.6(1)</w:t>
      </w:r>
      <w:r>
        <w:rPr>
          <w:rFonts w:ascii="Times New Roman" w:hAnsi="Times New Roman"/>
          <w:b w:val="false"/>
          <w:i w:val="false"/>
          <w:color w:val="000000"/>
          <w:sz w:val="22"/>
        </w:rPr>
        <w:t> </w:t>
      </w:r>
      <w:r>
        <w:rPr>
          <w:rFonts w:ascii="Times New Roman" w:hAnsi="Times New Roman"/>
          <w:b w:val="false"/>
          <w:i/>
          <w:color w:val="000000"/>
          <w:sz w:val="22"/>
        </w:rPr>
        <w:t xml:space="preserve">Update to a motor carrier permit. </w:t>
      </w:r>
      <w:r>
        <w:rPr>
          <w:rFonts w:ascii="Times New Roman" w:hAnsi="Times New Roman"/>
          <w:b w:val="false"/>
          <w:i w:val="false"/>
          <w:color w:val="000000"/>
          <w:sz w:val="22"/>
        </w:rPr>
        <w:t>To change the commodities being transported under a permit, an updated application must be submitted to the vehicle and motor carrier services bureau. The updated application shall include the permit number and the required fee for a duplicate permit. Transporting of commodities not listed on the permit shall not commence until a new permit or temporary permit has been issued and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524.6(2)</w:t>
      </w:r>
      <w:r>
        <w:rPr>
          <w:rFonts w:ascii="Times New Roman" w:hAnsi="Times New Roman"/>
          <w:b w:val="false"/>
          <w:i w:val="false"/>
          <w:color w:val="000000"/>
          <w:sz w:val="22"/>
        </w:rPr>
        <w:t> </w:t>
      </w:r>
      <w:r>
        <w:rPr>
          <w:rFonts w:ascii="Times New Roman" w:hAnsi="Times New Roman"/>
          <w:b w:val="false"/>
          <w:i/>
          <w:color w:val="000000"/>
          <w:sz w:val="22"/>
        </w:rPr>
        <w:t xml:space="preserve">Change of name or address for a motor carrier permit or certificate. </w:t>
      </w:r>
      <w:r>
        <w:rPr>
          <w:rFonts w:ascii="Times New Roman" w:hAnsi="Times New Roman"/>
          <w:b w:val="false"/>
          <w:i w:val="false"/>
          <w:color w:val="000000"/>
          <w:sz w:val="22"/>
        </w:rPr>
        <w:t>To change the name or address, an updated application shall be sent to the vehicle and motor carrier services bureau within 30 days after the change. The updated application shall include the permit or certificate number, old name or address, new name or address, and the required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761—524.7</w:t>
      </w:r>
      <w:r>
        <w:rPr>
          <w:rFonts w:ascii="Times New Roman" w:hAnsi="Times New Roman"/>
          <w:b/>
          <w:i w:val="false"/>
          <w:color w:val="000000"/>
          <w:sz w:val="22"/>
        </w:rPr>
        <w:t xml:space="preserve">(325A) </w:t>
      </w:r>
      <w:r>
        <w:rPr>
          <w:rFonts w:ascii="Times New Roman" w:hAnsi="Times New Roman"/>
          <w:b/>
          <w:i w:val="false"/>
          <w:color w:val="000000"/>
          <w:sz w:val="22"/>
        </w:rPr>
        <w:t xml:space="preserve">Insurance—suspension.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524.7(1)</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r>
        <w:rPr>
          <w:rFonts w:ascii="Times New Roman" w:hAnsi="Times New Roman"/>
          <w:b w:val="false"/>
          <w:i w:val="false"/>
          <w:color w:val="000000"/>
          <w:sz w:val="22"/>
        </w:rPr>
        <w:t>Each motor carrier shall at all times maintain on file with the department the effective certificate(s) of insurance or a surety bond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insurance or the surety bond shall be written for a period of one year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given written notice 30 days prior to the cancellation of the insurance or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July 1, 2021, the certificate of insurance may be submitted electronically in a format approved by the department. An insurance carrier that submits the certificate of insurance under this rule shall implement electronic submission of such certificate no later than July 1, 2021. As of July 1, 2021, no paper submissions of such certificates shall be accepted, and all certificates of insurance shall be submitted electronically in a format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524.7(2)</w:t>
      </w:r>
      <w:r>
        <w:rPr>
          <w:rFonts w:ascii="Times New Roman" w:hAnsi="Times New Roman"/>
          <w:b w:val="false"/>
          <w:i w:val="false"/>
          <w:color w:val="000000"/>
          <w:sz w:val="22"/>
        </w:rPr>
        <w:t> </w:t>
      </w:r>
      <w:r>
        <w:rPr>
          <w:rFonts w:ascii="Times New Roman" w:hAnsi="Times New Roman"/>
          <w:b w:val="false"/>
          <w:i/>
          <w:color w:val="000000"/>
          <w:sz w:val="22"/>
        </w:rPr>
        <w:t xml:space="preserve">Self-insurance. </w:t>
      </w:r>
      <w:r>
        <w:rPr>
          <w:rFonts w:ascii="Times New Roman" w:hAnsi="Times New Roman"/>
          <w:b w:val="false"/>
          <w:i w:val="false"/>
          <w:color w:val="000000"/>
          <w:sz w:val="22"/>
        </w:rPr>
        <w:t>In lieu of maintaining the above insurance, intrastate carriers that also operate interstate and have been approved by a federal agency to self-insure may apply to the department to self-insure by submitting a written request to the vehicle and motor carrier services bureau. The written request shall include a copy of the federal agency’s approval. The department shall allow self-insurance as long as a federal agency has approved the carrier to self-insure and the motor carrier provides the department with copies of any information required by that federal agency. The department must be notified immediately by the motor carrier if there is any change in the status of the self-insurance for interstate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524.7(3)</w:t>
      </w:r>
      <w:r>
        <w:rPr>
          <w:rFonts w:ascii="Times New Roman" w:hAnsi="Times New Roman"/>
          <w:b w:val="false"/>
          <w:i w:val="false"/>
          <w:color w:val="000000"/>
          <w:sz w:val="22"/>
        </w:rPr>
        <w:t> </w:t>
      </w:r>
      <w:r>
        <w:rPr>
          <w:rFonts w:ascii="Times New Roman" w:hAnsi="Times New Roman"/>
          <w:b w:val="false"/>
          <w:i/>
          <w:color w:val="000000"/>
          <w:sz w:val="22"/>
        </w:rPr>
        <w:t xml:space="preserve">Suspension for no insurance. </w:t>
      </w:r>
      <w:r>
        <w:rPr>
          <w:rFonts w:ascii="Times New Roman" w:hAnsi="Times New Roman"/>
          <w:b w:val="false"/>
          <w:i w:val="false"/>
          <w:color w:val="000000"/>
          <w:sz w:val="22"/>
        </w:rPr>
        <w:t xml:space="preserve">If a motor carrier fails to maintain the required insurance on file with the department, the department shall suspend the motor carrier’s permit or certificate in accordance with Iowa Code chapter </w:t>
      </w:r>
      <w:hyperlink r:id="rId13">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rule 761—524.17(325A)</w:t>
        </w:r>
      </w:hyperlink>
      <w:r>
        <w:rPr>
          <w:rFonts w:ascii="Times New Roman" w:hAnsi="Times New Roman"/>
          <w:b w:val="false"/>
          <w:i w:val="false"/>
          <w:color w:val="000000"/>
          <w:sz w:val="22"/>
        </w:rPr>
        <w:t>. The suspension shall remain in effect until the requirements are met and a reinstatement fee is paid. A motor carrier shall not continue operation without proper insurance.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761—524.8</w:t>
      </w:r>
      <w:r>
        <w:rPr>
          <w:rFonts w:ascii="Times New Roman" w:hAnsi="Times New Roman"/>
          <w:b/>
          <w:i w:val="false"/>
          <w:color w:val="000000"/>
          <w:sz w:val="22"/>
        </w:rPr>
        <w:t xml:space="preserve">(325A) </w:t>
      </w:r>
      <w:r>
        <w:rPr>
          <w:rFonts w:ascii="Times New Roman" w:hAnsi="Times New Roman"/>
          <w:b/>
          <w:i w:val="false"/>
          <w:color w:val="000000"/>
          <w:sz w:val="22"/>
        </w:rPr>
        <w:t xml:space="preserve">Self-insurance for motor carriers of passengers.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self-insurance. </w:t>
      </w:r>
      <w:r>
        <w:rPr>
          <w:rFonts w:ascii="Times New Roman" w:hAnsi="Times New Roman"/>
          <w:b w:val="false"/>
          <w:i w:val="false"/>
          <w:color w:val="000000"/>
          <w:sz w:val="22"/>
        </w:rPr>
        <w:t>A motor carrier of passengers with more than 25 motor vehicles may request self-insurance by submitting a written request to the vehicle and motor carrier services bureau. The written request shall include a copy of the most recent audited financial statement and a vehicle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524.8(2)</w:t>
      </w:r>
      <w:r>
        <w:rPr>
          <w:rFonts w:ascii="Times New Roman" w:hAnsi="Times New Roman"/>
          <w:b w:val="false"/>
          <w:i w:val="false"/>
          <w:color w:val="000000"/>
          <w:sz w:val="22"/>
        </w:rPr>
        <w:t> </w:t>
      </w:r>
      <w:r>
        <w:rPr>
          <w:rFonts w:ascii="Times New Roman" w:hAnsi="Times New Roman"/>
          <w:b w:val="false"/>
          <w:i/>
          <w:color w:val="000000"/>
          <w:sz w:val="22"/>
        </w:rPr>
        <w:t xml:space="preserve">Review by the department. </w:t>
      </w:r>
      <w:r>
        <w:rPr>
          <w:rFonts w:ascii="Times New Roman" w:hAnsi="Times New Roman"/>
          <w:b w:val="false"/>
          <w:i w:val="false"/>
          <w:color w:val="000000"/>
          <w:sz w:val="22"/>
        </w:rPr>
        <w:t>The department may request additional information. The department shall deny the request to self-insure or suspend existing approval if the motor carrier fails to meet the self-insurance standard. Approval of self-insurance is continuous. However, the motor carrier shall annually file audited financial statements with the vehicle and motor carrier services bureau within 60 days after the end of the motor carrier’s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self-insurance approval. </w:t>
      </w:r>
      <w:r>
        <w:rPr>
          <w:rFonts w:ascii="Times New Roman" w:hAnsi="Times New Roman"/>
          <w:b w:val="false"/>
          <w:i w:val="false"/>
          <w:color w:val="000000"/>
          <w:sz w:val="22"/>
        </w:rPr>
        <w:t>The department may cancel approval of self-insurance on reasonable grounds. Reasonable grounds include, but are not limited to, the following: failure to pay a final judgment within 30 days or failure to file an annual, audited financial statement. The department shall give five days’ notice to the motor carrier prior to any hearing to cancel approval of self-insurance.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761—524.9</w:t>
      </w:r>
      <w:r>
        <w:rPr>
          <w:rFonts w:ascii="Times New Roman" w:hAnsi="Times New Roman"/>
          <w:b/>
          <w:i w:val="false"/>
          <w:color w:val="000000"/>
          <w:sz w:val="22"/>
        </w:rPr>
        <w:t xml:space="preserve">(325A) </w:t>
      </w:r>
      <w:r>
        <w:rPr>
          <w:rFonts w:ascii="Times New Roman" w:hAnsi="Times New Roman"/>
          <w:b/>
          <w:i w:val="false"/>
          <w:color w:val="000000"/>
          <w:sz w:val="22"/>
        </w:rPr>
        <w:t xml:space="preserve">Safety self-certification. </w:t>
      </w:r>
      <w:r>
        <w:rPr>
          <w:rFonts w:ascii="Times New Roman" w:hAnsi="Times New Roman"/>
          <w:b w:val="false"/>
          <w:i w:val="false"/>
          <w:color w:val="000000"/>
          <w:sz w:val="22"/>
        </w:rPr>
        <w:t xml:space="preserve">All motor carriers shall follow the safety regulations as stated in </w:t>
      </w:r>
      <w:hyperlink r:id="rId15">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 xml:space="preserve"> concerning operation, maintenance and inspection of vehicles used in the business. Motor carriers shall submit on a form prescribed by the department a self-certification stating knowledge, understanding and willingness to follow these safety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761—524.10</w:t>
      </w:r>
      <w:r>
        <w:rPr>
          <w:rFonts w:ascii="Times New Roman" w:hAnsi="Times New Roman"/>
          <w:b/>
          <w:i w:val="false"/>
          <w:color w:val="000000"/>
          <w:sz w:val="22"/>
        </w:rPr>
        <w:t xml:space="preserve">(325A) </w:t>
      </w:r>
      <w:r>
        <w:rPr>
          <w:rFonts w:ascii="Times New Roman" w:hAnsi="Times New Roman"/>
          <w:b/>
          <w:i w:val="false"/>
          <w:color w:val="000000"/>
          <w:sz w:val="22"/>
        </w:rPr>
        <w:t xml:space="preserve">Financial statement. </w:t>
      </w:r>
      <w:r>
        <w:rPr>
          <w:rFonts w:ascii="Times New Roman" w:hAnsi="Times New Roman"/>
          <w:b w:val="false"/>
          <w:i w:val="false"/>
          <w:color w:val="000000"/>
          <w:sz w:val="22"/>
        </w:rPr>
        <w:t>An application by a motor carrier of bulk liquid commodities (nondairy) or regular-route passengers must include a statement signed by an authorized agent of a lending institution or a certified public accountant attesting to the financial capability of that carrier. At a minimum, the certification shall be based on meeting the following ratios:</w:t>
      </w:r>
    </w:p>
    <w:p>
      <w:pPr>
        <w:spacing w:before="0" w:after="0"/>
        <w:ind w:left="120"/>
        <w:jc w:val="both"/>
      </w:pPr>
      <w:r>
        <w:rPr>
          <w:rFonts w:ascii="Times New Roman" w:hAnsi="Times New Roman"/>
          <w:b w:val="false"/>
          <w:i w:val="false"/>
          <w:color w:val="000000"/>
          <w:sz w:val="22"/>
        </w:rPr>
        <w:t>Current Ratio: Minimum of 1.2:1</w:t>
      </w:r>
    </w:p>
    <w:p>
      <w:pPr>
        <w:spacing w:before="0" w:after="0"/>
        <w:ind w:left="120"/>
        <w:jc w:val="both"/>
      </w:pPr>
      <w:r>
        <w:rPr>
          <w:rFonts w:ascii="Times New Roman" w:hAnsi="Times New Roman"/>
          <w:b w:val="false"/>
          <w:i w:val="false"/>
          <w:color w:val="000000"/>
          <w:sz w:val="22"/>
          <w:u w:val="single"/>
        </w:rPr>
        <w:t>Current Assets</w:t>
      </w:r>
    </w:p>
    <w:p>
      <w:pPr>
        <w:spacing w:before="0" w:after="0"/>
        <w:ind w:left="120"/>
        <w:jc w:val="both"/>
      </w:pPr>
      <w:r>
        <w:rPr>
          <w:rFonts w:ascii="Times New Roman" w:hAnsi="Times New Roman"/>
          <w:b w:val="false"/>
          <w:i w:val="false"/>
          <w:color w:val="000000"/>
          <w:sz w:val="22"/>
        </w:rPr>
        <w:t>Current Liabilities = _______________________________</w:t>
      </w:r>
    </w:p>
    <w:p>
      <w:pPr>
        <w:spacing w:before="0" w:after="0"/>
        <w:ind w:left="120"/>
        <w:jc w:val="both"/>
      </w:pPr>
      <w:r>
        <w:rPr>
          <w:rFonts w:ascii="Times New Roman" w:hAnsi="Times New Roman"/>
          <w:b w:val="false"/>
          <w:i w:val="false"/>
          <w:color w:val="000000"/>
          <w:sz w:val="22"/>
        </w:rPr>
        <w:t>Projected Operating Ratio: Maximum of 95</w:t>
      </w:r>
    </w:p>
    <w:p>
      <w:pPr>
        <w:spacing w:before="0" w:after="0"/>
        <w:ind w:left="120"/>
        <w:jc w:val="both"/>
      </w:pPr>
      <w:r>
        <w:rPr>
          <w:rFonts w:ascii="Times New Roman" w:hAnsi="Times New Roman"/>
          <w:b w:val="false"/>
          <w:i w:val="false"/>
          <w:color w:val="000000"/>
          <w:sz w:val="22"/>
        </w:rPr>
        <w:t xml:space="preserve">1. New Operation </w:t>
      </w:r>
    </w:p>
    <w:p>
      <w:pPr>
        <w:spacing w:before="0" w:after="0"/>
        <w:ind w:left="120"/>
        <w:jc w:val="both"/>
      </w:pPr>
      <w:r>
        <w:rPr>
          <w:rFonts w:ascii="Times New Roman" w:hAnsi="Times New Roman"/>
          <w:b w:val="false"/>
          <w:i w:val="false"/>
          <w:color w:val="000000"/>
          <w:sz w:val="22"/>
        </w:rPr>
        <w:t xml:space="preserve">(Use 5-Year Projection) </w:t>
      </w:r>
      <w:r>
        <w:rPr>
          <w:rFonts w:ascii="Times New Roman" w:hAnsi="Times New Roman"/>
          <w:b w:val="false"/>
          <w:i w:val="false"/>
          <w:color w:val="000000"/>
          <w:sz w:val="22"/>
          <w:u w:val="single"/>
        </w:rPr>
        <w:t xml:space="preserve">Operating Expenses </w:t>
      </w:r>
      <w:r>
        <w:rPr>
          <w:rFonts w:ascii="Times New Roman" w:hAnsi="Times New Roman"/>
          <w:b w:val="false"/>
          <w:i w:val="false"/>
          <w:color w:val="000000"/>
          <w:sz w:val="22"/>
        </w:rPr>
        <w:t>× 100 = _________</w:t>
      </w:r>
    </w:p>
    <w:p>
      <w:pPr>
        <w:spacing w:before="0" w:after="0"/>
        <w:ind w:left="120"/>
        <w:jc w:val="both"/>
      </w:pPr>
      <w:r>
        <w:rPr>
          <w:rFonts w:ascii="Times New Roman" w:hAnsi="Times New Roman"/>
          <w:b w:val="false"/>
          <w:i w:val="false"/>
          <w:color w:val="000000"/>
          <w:sz w:val="22"/>
        </w:rPr>
        <w:t>2. Existing Operation    Operating Revenue</w:t>
      </w:r>
    </w:p>
    <w:p>
      <w:pPr>
        <w:spacing w:before="0" w:after="0"/>
        <w:ind w:left="120"/>
        <w:jc w:val="both"/>
      </w:pPr>
      <w:r>
        <w:rPr>
          <w:rFonts w:ascii="Times New Roman" w:hAnsi="Times New Roman"/>
          <w:b w:val="false"/>
          <w:i w:val="false"/>
          <w:color w:val="000000"/>
          <w:sz w:val="22"/>
        </w:rPr>
        <w:t>(Use 1-Year Projection)</w:t>
      </w:r>
    </w:p>
    <w:p>
      <w:pPr>
        <w:spacing w:before="0" w:after="0"/>
        <w:ind w:left="120"/>
        <w:jc w:val="both"/>
      </w:pPr>
      <w:r>
        <w:rPr>
          <w:rFonts w:ascii="Times New Roman" w:hAnsi="Times New Roman"/>
          <w:b w:val="false"/>
          <w:i w:val="false"/>
          <w:color w:val="000000"/>
          <w:sz w:val="22"/>
        </w:rPr>
        <w:t>Working Capital Ratio: Minimum 12 days Capital</w:t>
      </w:r>
    </w:p>
    <w:p>
      <w:pPr>
        <w:spacing w:before="0" w:after="0"/>
        <w:ind w:left="120"/>
        <w:jc w:val="both"/>
      </w:pPr>
      <w:r>
        <w:rPr>
          <w:rFonts w:ascii="Times New Roman" w:hAnsi="Times New Roman"/>
          <w:b w:val="false"/>
          <w:i w:val="false"/>
          <w:color w:val="000000"/>
          <w:sz w:val="22"/>
          <w:u w:val="single"/>
        </w:rPr>
        <w:t>Current Assets Less Current Liabilities</w:t>
      </w:r>
    </w:p>
    <w:p>
      <w:pPr>
        <w:spacing w:before="0" w:after="0"/>
        <w:ind w:left="120"/>
        <w:jc w:val="both"/>
      </w:pPr>
      <w:r>
        <w:rPr>
          <w:rFonts w:ascii="Times New Roman" w:hAnsi="Times New Roman"/>
          <w:b w:val="false"/>
          <w:i w:val="false"/>
          <w:color w:val="000000"/>
          <w:sz w:val="22"/>
        </w:rPr>
        <w:t>Average Daily Operating Expenses = ____________________</w:t>
      </w:r>
    </w:p>
    <w:p>
      <w:pPr>
        <w:spacing w:before="0" w:after="0"/>
        <w:ind w:left="120"/>
        <w:jc w:val="both"/>
      </w:pPr>
      <w:r>
        <w:rPr>
          <w:rFonts w:ascii="Times New Roman" w:hAnsi="Times New Roman"/>
          <w:b/>
          <w:i w:val="false"/>
          <w:color w:val="000000"/>
          <w:sz w:val="22"/>
        </w:rPr>
        <w:t>761—524.11</w:t>
      </w:r>
      <w:r>
        <w:rPr>
          <w:rFonts w:ascii="Times New Roman" w:hAnsi="Times New Roman"/>
          <w:b/>
          <w:i w:val="false"/>
          <w:color w:val="000000"/>
          <w:sz w:val="22"/>
        </w:rPr>
        <w:t xml:space="preserve">(325A) </w:t>
      </w:r>
      <w:r>
        <w:rPr>
          <w:rFonts w:ascii="Times New Roman" w:hAnsi="Times New Roman"/>
          <w:b/>
          <w:i w:val="false"/>
          <w:color w:val="000000"/>
          <w:sz w:val="22"/>
        </w:rPr>
        <w:t xml:space="preserve">Safety education seminar.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Motor carriers of bulk liquid commodities (nondairy) and passengers shall attend an approved safety education seminar within six months of issuance of the permit or certificate except as provided in subrule 524.11(4). The individuals in attendance shall be the persons responsible for the safety records and driver training. Failure to attend an approved safety education seminar within the time provided shall result in suspension of the motor carrier permit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524.11(2)</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 xml:space="preserve">The department shall provide an approved safety education seminar periodically. Information on the seminar schedule is available by mail from the Vehicle and Motor Carrier Services Bureau, Iowa Department of Transportation, P.O. Box 10382, Des Moines, Iowa 50306-0382; in person at 6310 SE Convenience Blvd., Ankeny, Iowa; by telephone at (515)237-3268; or by email at </w:t>
      </w:r>
      <w:hyperlink r:id="rId16">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524.11(3)</w:t>
      </w:r>
      <w:r>
        <w:rPr>
          <w:rFonts w:ascii="Times New Roman" w:hAnsi="Times New Roman"/>
          <w:b w:val="false"/>
          <w:i w:val="false"/>
          <w:color w:val="000000"/>
          <w:sz w:val="22"/>
        </w:rPr>
        <w:t> </w:t>
      </w:r>
      <w:r>
        <w:rPr>
          <w:rFonts w:ascii="Times New Roman" w:hAnsi="Times New Roman"/>
          <w:b w:val="false"/>
          <w:i/>
          <w:color w:val="000000"/>
          <w:sz w:val="22"/>
        </w:rPr>
        <w:t xml:space="preserve">Third-party safety education seminar approval. </w:t>
      </w:r>
      <w:r>
        <w:rPr>
          <w:rFonts w:ascii="Times New Roman" w:hAnsi="Times New Roman"/>
          <w:b w:val="false"/>
          <w:i w:val="false"/>
          <w:color w:val="000000"/>
          <w:sz w:val="22"/>
        </w:rPr>
        <w:t>The motor vehicle division shall approve the course curriculum before approving individuals outside the department to conduct safety education seminars. The course curriculum shall be submitted for approval to the motor vehicle division. At a minimum, the safety course curriculum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Commercial driver’s license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U.S. DOT’s motor carrier safety regulations and hazardous materials regulations which are adopted annually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7">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 xml:space="preserve"> and all associated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9">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and all associated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Out-of-service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U.S. DOT’s Emergency Response Guide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524.11(4)</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Passenger carriers with vehicles not meeting the definition of a commercial vehicle as defined in Iowa Code section </w:t>
      </w:r>
      <w:hyperlink r:id="rId2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exempt from attending the safety education seminar and paying the seminar fee. A motor carrier certificate issued for such a carrier contains the statement: “limited to noncommercial vehicles only.” If a motor carrier wishes to start operating vehicles that meet the definition of a commercial motor vehicle, the motor carrier must update its authority with the vehicle and motor carrier services bureau. A motor carrier must pay the seminar fee and attend the seminar within six months of updating the certificate. A new motor carrier certificate removing the limitation would then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761—524.12</w:t>
      </w:r>
      <w:r>
        <w:rPr>
          <w:rFonts w:ascii="Times New Roman" w:hAnsi="Times New Roman"/>
          <w:b/>
          <w:i w:val="false"/>
          <w:color w:val="000000"/>
          <w:sz w:val="22"/>
        </w:rPr>
        <w:t xml:space="preserve">(325A) </w:t>
      </w:r>
      <w:r>
        <w:rPr>
          <w:rFonts w:ascii="Times New Roman" w:hAnsi="Times New Roman"/>
          <w:b/>
          <w:i w:val="false"/>
          <w:color w:val="000000"/>
          <w:sz w:val="22"/>
        </w:rPr>
        <w:t xml:space="preserve">Marking of motor vehicles. </w:t>
      </w:r>
      <w:r>
        <w:rPr>
          <w:rFonts w:ascii="Times New Roman" w:hAnsi="Times New Roman"/>
          <w:b w:val="false"/>
          <w:i w:val="false"/>
          <w:color w:val="000000"/>
          <w:sz w:val="22"/>
        </w:rPr>
        <w:t>Transferred to 661—22.9(325A), IAC Supplement 7/26/23.</w:t>
      </w:r>
    </w:p>
    <w:p>
      <w:pPr>
        <w:spacing w:before="210" w:after="0"/>
        <w:ind w:left="120"/>
        <w:jc w:val="both"/>
      </w:pPr>
      <w:r>
        <w:rPr>
          <w:rFonts w:ascii="Times New Roman" w:hAnsi="Times New Roman"/>
          <w:b/>
          <w:i w:val="false"/>
          <w:color w:val="000000"/>
          <w:sz w:val="22"/>
        </w:rPr>
        <w:t>761—524.13</w:t>
      </w:r>
      <w:r>
        <w:rPr>
          <w:rFonts w:ascii="Times New Roman" w:hAnsi="Times New Roman"/>
          <w:b/>
          <w:i w:val="false"/>
          <w:color w:val="000000"/>
          <w:sz w:val="22"/>
        </w:rPr>
        <w:t xml:space="preserve">(325A) </w:t>
      </w:r>
      <w:r>
        <w:rPr>
          <w:rFonts w:ascii="Times New Roman" w:hAnsi="Times New Roman"/>
          <w:b/>
          <w:i w:val="false"/>
          <w:color w:val="000000"/>
          <w:sz w:val="22"/>
        </w:rPr>
        <w:t xml:space="preserve">Bills of lading or freight receipts. </w:t>
      </w:r>
      <w:r>
        <w:rPr>
          <w:rFonts w:ascii="Times New Roman" w:hAnsi="Times New Roman"/>
          <w:b w:val="false"/>
          <w:i w:val="false"/>
          <w:color w:val="000000"/>
          <w:sz w:val="22"/>
        </w:rPr>
        <w:t>Transferred to 661—22.10(325A), IAC Supplement 7/26/23.</w:t>
      </w:r>
    </w:p>
    <w:p>
      <w:pPr>
        <w:spacing w:before="0" w:after="0"/>
        <w:ind w:left="120"/>
        <w:jc w:val="both"/>
      </w:pPr>
      <w:r>
        <w:rPr>
          <w:rFonts w:ascii="Times New Roman" w:hAnsi="Times New Roman"/>
          <w:b/>
          <w:i w:val="false"/>
          <w:color w:val="000000"/>
          <w:sz w:val="22"/>
        </w:rPr>
        <w:t>761—524.14</w:t>
      </w:r>
      <w:r>
        <w:rPr>
          <w:rFonts w:ascii="Times New Roman" w:hAnsi="Times New Roman"/>
          <w:b/>
          <w:i w:val="false"/>
          <w:color w:val="000000"/>
          <w:sz w:val="22"/>
        </w:rPr>
        <w:t xml:space="preserve">(325A) </w:t>
      </w:r>
      <w:r>
        <w:rPr>
          <w:rFonts w:ascii="Times New Roman" w:hAnsi="Times New Roman"/>
          <w:b/>
          <w:i w:val="false"/>
          <w:color w:val="000000"/>
          <w:sz w:val="22"/>
        </w:rPr>
        <w:t xml:space="preserve">Lease of a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524.14(1)</w:t>
      </w:r>
      <w:r>
        <w:rPr>
          <w:rFonts w:ascii="Times New Roman" w:hAnsi="Times New Roman"/>
          <w:b w:val="false"/>
          <w:i w:val="false"/>
          <w:color w:val="000000"/>
          <w:sz w:val="22"/>
        </w:rPr>
        <w:t> </w:t>
      </w:r>
      <w:r>
        <w:rPr>
          <w:rFonts w:ascii="Times New Roman" w:hAnsi="Times New Roman"/>
          <w:b w:val="false"/>
          <w:i/>
          <w:color w:val="000000"/>
          <w:sz w:val="22"/>
        </w:rPr>
        <w:t xml:space="preserve">Lease defined. </w:t>
      </w:r>
      <w:r>
        <w:rPr>
          <w:rFonts w:ascii="Times New Roman" w:hAnsi="Times New Roman"/>
          <w:b w:val="false"/>
          <w:i w:val="false"/>
          <w:color w:val="000000"/>
          <w:sz w:val="22"/>
        </w:rPr>
        <w:t>“Lease,” for the purpose of these rules, means a written document providing for the exclusive possession, control and responsibility over the operation of a vehicle by the lessee for a specific period of time as if the lessee were the owner. A copy of the lease must be carried in the leased vehicle at all times. No motor carrier may have more than one lease covering a specific vehicle in effect at a given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524.14(2)</w:t>
      </w:r>
      <w:r>
        <w:rPr>
          <w:rFonts w:ascii="Times New Roman" w:hAnsi="Times New Roman"/>
          <w:b w:val="false"/>
          <w:i w:val="false"/>
          <w:color w:val="000000"/>
          <w:sz w:val="22"/>
        </w:rPr>
        <w:t> </w:t>
      </w:r>
      <w:r>
        <w:rPr>
          <w:rFonts w:ascii="Times New Roman" w:hAnsi="Times New Roman"/>
          <w:b w:val="false"/>
          <w:i/>
          <w:color w:val="000000"/>
          <w:sz w:val="22"/>
        </w:rPr>
        <w:t xml:space="preserve">Lease of a vehicle to a shipper or a receiver. </w:t>
      </w:r>
      <w:r>
        <w:rPr>
          <w:rFonts w:ascii="Times New Roman" w:hAnsi="Times New Roman"/>
          <w:b w:val="false"/>
          <w:i w:val="false"/>
          <w:color w:val="000000"/>
          <w:sz w:val="22"/>
        </w:rPr>
        <w:t>No motor carrier shall lease a vehicle with or without a driver to a shipper or a receiver.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524.14(3)</w:t>
      </w:r>
      <w:r>
        <w:rPr>
          <w:rFonts w:ascii="Times New Roman" w:hAnsi="Times New Roman"/>
          <w:b w:val="false"/>
          <w:i w:val="false"/>
          <w:color w:val="000000"/>
          <w:sz w:val="22"/>
        </w:rPr>
        <w:t> </w:t>
      </w:r>
      <w:r>
        <w:rPr>
          <w:rFonts w:ascii="Times New Roman" w:hAnsi="Times New Roman"/>
          <w:b w:val="false"/>
          <w:i/>
          <w:color w:val="000000"/>
          <w:sz w:val="22"/>
        </w:rPr>
        <w:t xml:space="preserve">Marking of a motor vehicle. </w:t>
      </w:r>
      <w:r>
        <w:rPr>
          <w:rFonts w:ascii="Times New Roman" w:hAnsi="Times New Roman"/>
          <w:b w:val="false"/>
          <w:i w:val="false"/>
          <w:color w:val="000000"/>
          <w:sz w:val="22"/>
        </w:rPr>
        <w:t xml:space="preserve">Each lessee shall properly identify each motor vehicle during the period of the lease as specified in </w:t>
      </w:r>
      <w:hyperlink r:id="rId21">
        <w:r>
          <w:rPr>
            <w:rStyle w:val="Hyperlink"/>
            <w:rFonts w:ascii="Times New Roman" w:hAnsi="Times New Roman"/>
            <w:b w:val="false"/>
            <w:i w:val="false"/>
            <w:color w:val="000000"/>
            <w:sz w:val="22"/>
          </w:rPr>
          <w:t>rule </w:t>
        </w:r>
      </w:hyperlink>
      <w:hyperlink r:id="rId22">
        <w:r>
          <w:rPr>
            <w:rStyle w:val="Hyperlink"/>
            <w:rFonts w:ascii="Times New Roman" w:hAnsi="Times New Roman"/>
            <w:b w:val="false"/>
            <w:i w:val="false"/>
            <w:color w:val="000000"/>
            <w:sz w:val="22"/>
          </w:rPr>
          <w:t>661—22.9(325A)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524.14(4)</w:t>
      </w:r>
      <w:r>
        <w:rPr>
          <w:rFonts w:ascii="Times New Roman" w:hAnsi="Times New Roman"/>
          <w:b w:val="false"/>
          <w:i w:val="false"/>
          <w:color w:val="000000"/>
          <w:sz w:val="22"/>
        </w:rPr>
        <w:t> </w:t>
      </w:r>
      <w:r>
        <w:rPr>
          <w:rFonts w:ascii="Times New Roman" w:hAnsi="Times New Roman"/>
          <w:b w:val="false"/>
          <w:i/>
          <w:color w:val="000000"/>
          <w:sz w:val="22"/>
        </w:rPr>
        <w:t xml:space="preserve">Lease requirements. </w:t>
      </w:r>
      <w:r>
        <w:rPr>
          <w:rFonts w:ascii="Times New Roman" w:hAnsi="Times New Roman"/>
          <w:b w:val="false"/>
          <w:i w:val="false"/>
          <w:color w:val="000000"/>
          <w:sz w:val="22"/>
        </w:rPr>
        <w:t>Any lease of a vehicle by any motor carrier except under the following conditions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lease must be in writing and signed by the parties or their regular employees or agents duly authorized to act for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lease shall specify the time that the lease begins and the time or circumstances on which it ends.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761—524.15</w:t>
      </w:r>
      <w:r>
        <w:rPr>
          <w:rFonts w:ascii="Times New Roman" w:hAnsi="Times New Roman"/>
          <w:b/>
          <w:i w:val="false"/>
          <w:color w:val="000000"/>
          <w:sz w:val="22"/>
        </w:rPr>
        <w:t xml:space="preserve">(325A) </w:t>
      </w:r>
      <w:r>
        <w:rPr>
          <w:rFonts w:ascii="Times New Roman" w:hAnsi="Times New Roman"/>
          <w:b/>
          <w:i w:val="false"/>
          <w:color w:val="000000"/>
          <w:sz w:val="22"/>
        </w:rPr>
        <w:t xml:space="preserve">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All motor carriers of household goods shall maintain on file with the vehicle and motor carrier services bureau a tariff stating the rates and charges that apply for the services performed under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524.15(2)</w:t>
      </w:r>
      <w:r>
        <w:rPr>
          <w:rFonts w:ascii="Times New Roman" w:hAnsi="Times New Roman"/>
          <w:b w:val="false"/>
          <w:i w:val="false"/>
          <w:color w:val="000000"/>
          <w:sz w:val="22"/>
        </w:rPr>
        <w:t> </w:t>
      </w:r>
      <w:r>
        <w:rPr>
          <w:rFonts w:ascii="Times New Roman" w:hAnsi="Times New Roman"/>
          <w:b w:val="false"/>
          <w:i/>
          <w:color w:val="000000"/>
          <w:sz w:val="22"/>
        </w:rPr>
        <w:t xml:space="preserve">Printing. </w:t>
      </w:r>
      <w:r>
        <w:rPr>
          <w:rFonts w:ascii="Times New Roman" w:hAnsi="Times New Roman"/>
          <w:b w:val="false"/>
          <w:i w:val="false"/>
          <w:color w:val="000000"/>
          <w:sz w:val="22"/>
        </w:rPr>
        <w:t>All tariffs and amendments or supplements must be in book, pamphlet or loose-leaf form. They must be plainly printed or reproduced. No alteration in writing or erasure shall be made in any tariff or supplement.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All changes to tariffs and supplements must be filed with the vehicle and motor carrier services bureau at least seven days prior to the effective date. Tariffs or supplements issued in connection with applications for motor carriers of household goods may become effective on the date the permits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524.15(4)</w:t>
      </w:r>
      <w:r>
        <w:rPr>
          <w:rFonts w:ascii="Times New Roman" w:hAnsi="Times New Roman"/>
          <w:b w:val="false"/>
          <w:i w:val="false"/>
          <w:color w:val="000000"/>
          <w:sz w:val="22"/>
        </w:rPr>
        <w:t> </w:t>
      </w:r>
      <w:r>
        <w:rPr>
          <w:rFonts w:ascii="Times New Roman" w:hAnsi="Times New Roman"/>
          <w:b w:val="false"/>
          <w:i/>
          <w:color w:val="000000"/>
          <w:sz w:val="22"/>
        </w:rPr>
        <w:t xml:space="preserve">Copy to department. </w:t>
      </w:r>
      <w:r>
        <w:rPr>
          <w:rFonts w:ascii="Times New Roman" w:hAnsi="Times New Roman"/>
          <w:b w:val="false"/>
          <w:i w:val="false"/>
          <w:color w:val="000000"/>
          <w:sz w:val="22"/>
        </w:rPr>
        <w:t>To file a tariff with the vehicle and motor carrier services bureau, motor carriers of household goods or their agents shall submit a transmittal letter listing all the enclosed tariffs and include one copy of each tariff, supplement or revised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524.15(5)</w:t>
      </w:r>
      <w:r>
        <w:rPr>
          <w:rFonts w:ascii="Times New Roman" w:hAnsi="Times New Roman"/>
          <w:b w:val="false"/>
          <w:i w:val="false"/>
          <w:color w:val="000000"/>
          <w:sz w:val="22"/>
        </w:rPr>
        <w:t> </w:t>
      </w:r>
      <w:r>
        <w:rPr>
          <w:rFonts w:ascii="Times New Roman" w:hAnsi="Times New Roman"/>
          <w:b w:val="false"/>
          <w:i/>
          <w:color w:val="000000"/>
          <w:sz w:val="22"/>
        </w:rPr>
        <w:t xml:space="preserve">Title page. </w:t>
      </w:r>
      <w:r>
        <w:rPr>
          <w:rFonts w:ascii="Times New Roman" w:hAnsi="Times New Roman"/>
          <w:b w:val="false"/>
          <w:i w:val="false"/>
          <w:color w:val="000000"/>
          <w:sz w:val="22"/>
        </w:rPr>
        <w:t>The title page of every tariff and supplement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tariff shall be numbered in the upper right-hand corner, beginning with number 1. The number shall be shown as follows: Ia. DOT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When a tariff is issued canceling a tariff previously filed, the Ia. DOT number that has been canceled must be shown in the right-hand corner under the Ia. DOT number of the new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Supplements or changes to a tariff shall be numbered beginning with number 1, and this information shall be shown in the upper right-hand corner along with the number of any previous supplements canceled or changed by the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each motor carrier of household goods must be the same as it appears on the permit. If the motor carrier of household goods is not a corporation and uses a trade name, the name of the individual or partners must precede the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tariff shall include a brief description of the territory or points from which and to which the tariff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tariff shall contain the issue and effective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tariff shall include the name, title and street address of the motor carrier of household goods or the agent by whom the tariff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524.15(6)</w:t>
      </w:r>
      <w:r>
        <w:rPr>
          <w:rFonts w:ascii="Times New Roman" w:hAnsi="Times New Roman"/>
          <w:b w:val="false"/>
          <w:i w:val="false"/>
          <w:color w:val="000000"/>
          <w:sz w:val="22"/>
        </w:rPr>
        <w:t> </w:t>
      </w:r>
      <w:r>
        <w:rPr>
          <w:rFonts w:ascii="Times New Roman" w:hAnsi="Times New Roman"/>
          <w:b w:val="false"/>
          <w:i/>
          <w:color w:val="000000"/>
          <w:sz w:val="22"/>
        </w:rPr>
        <w:t xml:space="preserve">Contents of tariff. </w:t>
      </w:r>
      <w:r>
        <w:rPr>
          <w:rFonts w:ascii="Times New Roman" w:hAnsi="Times New Roman"/>
          <w:b w:val="false"/>
          <w:i w:val="false"/>
          <w:color w:val="000000"/>
          <w:sz w:val="22"/>
        </w:rPr>
        <w:t>Each tariff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table of contents that is arranged alphabetically.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index of all commodities including the page number. However, no index or table of contents is needed in tariffs of less than five pages or if the rates are alphabetically arranged by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all abbreviations, symbols and reference marks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rates in the tariff explicitly stated in cents or in dollars and cents per one hundred pounds, per mile, per hour, per ton or two thousand pounds, per truck load (of stated amount) or other definable measure. Where rates are stated in amounts per package or bundle, definite specifications of the packages or bundles must be shown and ambiguous terms, rates, descriptions or plans for determining charges shall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524.15(7)</w:t>
      </w:r>
      <w:r>
        <w:rPr>
          <w:rFonts w:ascii="Times New Roman" w:hAnsi="Times New Roman"/>
          <w:b w:val="false"/>
          <w:i w:val="false"/>
          <w:color w:val="000000"/>
          <w:sz w:val="22"/>
        </w:rPr>
        <w:t> </w:t>
      </w:r>
      <w:r>
        <w:rPr>
          <w:rFonts w:ascii="Times New Roman" w:hAnsi="Times New Roman"/>
          <w:b w:val="false"/>
          <w:i/>
          <w:color w:val="000000"/>
          <w:sz w:val="22"/>
        </w:rPr>
        <w:t xml:space="preserve">Duplication of rates. </w:t>
      </w:r>
      <w:r>
        <w:rPr>
          <w:rFonts w:ascii="Times New Roman" w:hAnsi="Times New Roman"/>
          <w:b w:val="false"/>
          <w:i w:val="false"/>
          <w:color w:val="000000"/>
          <w:sz w:val="22"/>
        </w:rPr>
        <w:t>Motor carriers of household goods or their agents shall not publish duplicate or conflicting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524.15(8)</w:t>
      </w:r>
      <w:r>
        <w:rPr>
          <w:rFonts w:ascii="Times New Roman" w:hAnsi="Times New Roman"/>
          <w:b w:val="false"/>
          <w:i w:val="false"/>
          <w:color w:val="000000"/>
          <w:sz w:val="22"/>
        </w:rPr>
        <w:t> </w:t>
      </w:r>
      <w:r>
        <w:rPr>
          <w:rFonts w:ascii="Times New Roman" w:hAnsi="Times New Roman"/>
          <w:b w:val="false"/>
          <w:i/>
          <w:color w:val="000000"/>
          <w:sz w:val="22"/>
        </w:rPr>
        <w:t xml:space="preserve">Tariff changes. </w:t>
      </w:r>
      <w:r>
        <w:rPr>
          <w:rFonts w:ascii="Times New Roman" w:hAnsi="Times New Roman"/>
          <w:b w:val="false"/>
          <w:i w:val="false"/>
          <w:color w:val="000000"/>
          <w:sz w:val="22"/>
        </w:rPr>
        <w:t>All rates and charges which have been filed with the vehicle and motor carrier services bureau must be allowed to become effective and remain in effect for a period of at least seven days before being changed, canceled or withdrawn. All tariffs, supplements and revised pages shall indicate changes from the previous tariff. Changes may be indicated by providing a summary or by use of the following symbols:</w:t>
      </w:r>
    </w:p>
    <w:p>
      <w:pPr>
        <w:spacing w:before="0" w:after="0"/>
        <w:ind w:left="120"/>
        <w:jc w:val="both"/>
      </w:pPr>
      <w:r>
        <w:rPr>
          <w:rFonts w:ascii="Times New Roman" w:hAnsi="Times New Roman"/>
          <w:b w:val="false"/>
          <w:i w:val="false"/>
          <w:color w:val="000000"/>
          <w:sz w:val="22"/>
        </w:rPr>
        <w:t>(R) to denote reductions</w:t>
      </w:r>
    </w:p>
    <w:p>
      <w:pPr>
        <w:spacing w:before="0" w:after="0"/>
        <w:ind w:left="120"/>
        <w:jc w:val="both"/>
      </w:pPr>
      <w:r>
        <w:rPr>
          <w:rFonts w:ascii="Times New Roman" w:hAnsi="Times New Roman"/>
          <w:b w:val="false"/>
          <w:i w:val="false"/>
          <w:color w:val="000000"/>
          <w:sz w:val="22"/>
        </w:rPr>
        <w:t>(A) to denote increases</w:t>
      </w:r>
    </w:p>
    <w:p>
      <w:pPr>
        <w:spacing w:before="0" w:after="0"/>
        <w:ind w:left="120"/>
        <w:jc w:val="both"/>
      </w:pPr>
      <w:r>
        <w:rPr>
          <w:rFonts w:ascii="Times New Roman" w:hAnsi="Times New Roman"/>
          <w:b w:val="false"/>
          <w:i w:val="false"/>
          <w:color w:val="000000"/>
          <w:sz w:val="22"/>
        </w:rPr>
        <w:t>(C) to denote changes, the result of which is neither an increase nor a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524.15(9)</w:t>
      </w:r>
      <w:r>
        <w:rPr>
          <w:rFonts w:ascii="Times New Roman" w:hAnsi="Times New Roman"/>
          <w:b w:val="false"/>
          <w:i w:val="false"/>
          <w:color w:val="000000"/>
          <w:sz w:val="22"/>
        </w:rPr>
        <w:t> </w:t>
      </w:r>
      <w:r>
        <w:rPr>
          <w:rFonts w:ascii="Times New Roman" w:hAnsi="Times New Roman"/>
          <w:b w:val="false"/>
          <w:i/>
          <w:color w:val="000000"/>
          <w:sz w:val="22"/>
        </w:rPr>
        <w:t xml:space="preserve">Posting regulations. </w:t>
      </w:r>
      <w:r>
        <w:rPr>
          <w:rFonts w:ascii="Times New Roman" w:hAnsi="Times New Roman"/>
          <w:b w:val="false"/>
          <w:i w:val="false"/>
          <w:color w:val="000000"/>
          <w:sz w:val="22"/>
        </w:rPr>
        <w:t>Each motor carrier of household goods must post and file at its principal place of business all of its tariffs and supplements. All tariffs must be kept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524.15(10)</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special permission. </w:t>
      </w:r>
      <w:r>
        <w:rPr>
          <w:rFonts w:ascii="Times New Roman" w:hAnsi="Times New Roman"/>
          <w:b w:val="false"/>
          <w:i w:val="false"/>
          <w:color w:val="000000"/>
          <w:sz w:val="22"/>
        </w:rPr>
        <w:t>Motor carriers of household goods and agents when making application for permission to establish rates, charges, or rules of the tariff on less than the statutory seven days’ notice shall use the form prescribed by the department or other form containing all of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524.15(11)</w:t>
      </w:r>
      <w:r>
        <w:rPr>
          <w:rFonts w:ascii="Times New Roman" w:hAnsi="Times New Roman"/>
          <w:b w:val="false"/>
          <w:i w:val="false"/>
          <w:color w:val="000000"/>
          <w:sz w:val="22"/>
        </w:rPr>
        <w:t> </w:t>
      </w:r>
      <w:r>
        <w:rPr>
          <w:rFonts w:ascii="Times New Roman" w:hAnsi="Times New Roman"/>
          <w:b w:val="false"/>
          <w:i/>
          <w:color w:val="000000"/>
          <w:sz w:val="22"/>
        </w:rPr>
        <w:t xml:space="preserve">Powers of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 motor carrier of household goods desires to give authority to an agent or to another motor carrier of household goods to issue and file tariffs and supplements in its stead, a power of attorney shall be provided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original power of attorney shall be filed with the vehicle and motor carrier services bureau and a copy sent to the agent or motor carrier of household goods on whose behalf the document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a motor carrier of household goods desires to cancel the authority granted an agent or another motor carrier of household goods by power of attorney, this may be done by a letter addressed to the department revoking the authority on 60 days’ notice. For good cause, the department may authorize less than 60 days’ notice. Copies of the notice must also be mailed to all interested parties by the motor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524.15(12)</w:t>
      </w:r>
      <w:r>
        <w:rPr>
          <w:rFonts w:ascii="Times New Roman" w:hAnsi="Times New Roman"/>
          <w:b w:val="false"/>
          <w:i w:val="false"/>
          <w:color w:val="000000"/>
          <w:sz w:val="22"/>
        </w:rPr>
        <w:t> </w:t>
      </w:r>
      <w:r>
        <w:rPr>
          <w:rFonts w:ascii="Times New Roman" w:hAnsi="Times New Roman"/>
          <w:b w:val="false"/>
          <w:i/>
          <w:color w:val="000000"/>
          <w:sz w:val="22"/>
        </w:rPr>
        <w:t xml:space="preserve">Nonconforming tariffs. </w:t>
      </w:r>
      <w:r>
        <w:rPr>
          <w:rFonts w:ascii="Times New Roman" w:hAnsi="Times New Roman"/>
          <w:b w:val="false"/>
          <w:i w:val="false"/>
          <w:color w:val="000000"/>
          <w:sz w:val="22"/>
        </w:rPr>
        <w:t xml:space="preserve">The vehicle and motor carrier services bureau shall review tariffs that do not conform with </w:t>
      </w:r>
      <w:hyperlink r:id="rId23">
        <w:r>
          <w:rPr>
            <w:rStyle w:val="Hyperlink"/>
            <w:rFonts w:ascii="Times New Roman" w:hAnsi="Times New Roman"/>
            <w:b w:val="false"/>
            <w:i w:val="false"/>
            <w:color w:val="000000"/>
            <w:sz w:val="22"/>
          </w:rPr>
          <w:t>subrules 524.15(1)</w:t>
        </w:r>
      </w:hyperlink>
      <w:r>
        <w:rPr>
          <w:rFonts w:ascii="Times New Roman" w:hAnsi="Times New Roman"/>
          <w:b w:val="false"/>
          <w:i w:val="false"/>
          <w:color w:val="000000"/>
          <w:sz w:val="22"/>
        </w:rPr>
        <w:t xml:space="preserve"> to </w:t>
      </w:r>
      <w:hyperlink r:id="rId24">
        <w:r>
          <w:rPr>
            <w:rStyle w:val="Hyperlink"/>
            <w:rFonts w:ascii="Times New Roman" w:hAnsi="Times New Roman"/>
            <w:b w:val="false"/>
            <w:i w:val="false"/>
            <w:color w:val="000000"/>
            <w:sz w:val="22"/>
          </w:rPr>
          <w:t>524.15(11)</w:t>
        </w:r>
      </w:hyperlink>
      <w:r>
        <w:rPr>
          <w:rFonts w:ascii="Times New Roman" w:hAnsi="Times New Roman"/>
          <w:b w:val="false"/>
          <w:i w:val="false"/>
          <w:color w:val="000000"/>
          <w:sz w:val="22"/>
        </w:rPr>
        <w:t xml:space="preserve"> to determine if the tariffs contain the necessary information and are acceptable. Tariffs that are unacceptable shall be returned with an explanation.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761—524.16</w:t>
      </w:r>
      <w:r>
        <w:rPr>
          <w:rFonts w:ascii="Times New Roman" w:hAnsi="Times New Roman"/>
          <w:b/>
          <w:i w:val="false"/>
          <w:color w:val="000000"/>
          <w:sz w:val="22"/>
        </w:rPr>
        <w:t xml:space="preserve">(325A) </w:t>
      </w:r>
      <w:r>
        <w:rPr>
          <w:rFonts w:ascii="Times New Roman" w:hAnsi="Times New Roman"/>
          <w:b/>
          <w:i w:val="false"/>
          <w:color w:val="000000"/>
          <w:sz w:val="22"/>
        </w:rPr>
        <w:t xml:space="preserve">Transfer of motor carrier regular-route passenger certificate or motor carrier permit for household goods.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5/30/12</w:t>
      </w:r>
      <w:r>
        <w:rPr>
          <w:rFonts w:ascii="Times New Roman" w:hAnsi="Times New Roman"/>
          <w:b w:val="false"/>
          <w:i w:val="false"/>
          <w:color w:val="000000"/>
          <w:sz w:val="22"/>
        </w:rPr>
        <w:t>, effective 7/4/12.</w:t>
      </w:r>
    </w:p>
    <w:p>
      <w:pPr>
        <w:spacing w:before="210" w:after="0"/>
        <w:ind w:left="120"/>
        <w:jc w:val="both"/>
      </w:pPr>
      <w:r>
        <w:rPr>
          <w:rFonts w:ascii="Times New Roman" w:hAnsi="Times New Roman"/>
          <w:b/>
          <w:i w:val="false"/>
          <w:color w:val="000000"/>
          <w:sz w:val="22"/>
        </w:rPr>
        <w:t>761—524.17</w:t>
      </w:r>
      <w:r>
        <w:rPr>
          <w:rFonts w:ascii="Times New Roman" w:hAnsi="Times New Roman"/>
          <w:b/>
          <w:i w:val="false"/>
          <w:color w:val="000000"/>
          <w:sz w:val="22"/>
        </w:rPr>
        <w:t xml:space="preserve">(325A) </w:t>
      </w:r>
      <w:r>
        <w:rPr>
          <w:rFonts w:ascii="Times New Roman" w:hAnsi="Times New Roman"/>
          <w:b/>
          <w:i w:val="false"/>
          <w:color w:val="000000"/>
          <w:sz w:val="22"/>
        </w:rPr>
        <w:t xml:space="preserve">Suspension, revocation or reinstatement. </w:t>
      </w:r>
      <w:r>
        <w:rPr>
          <w:rFonts w:ascii="Times New Roman" w:hAnsi="Times New Roman"/>
          <w:b w:val="false"/>
          <w:i w:val="false"/>
          <w:color w:val="000000"/>
          <w:sz w:val="22"/>
        </w:rPr>
        <w:t xml:space="preserve">The department may suspend or revoke a motor carrier permit or certificate for a violation of Iowa Code chapter </w:t>
      </w:r>
      <w:hyperlink r:id="rId25">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this chapter. The suspension or revocation shall continue until the motor carrier is no longer in violation and the reinstatement fee is paid. A new permit or certificate shall be issued upon reinstatement.</w:t>
      </w:r>
    </w:p>
    <w:p>
      <w:pPr>
        <w:spacing w:before="0" w:after="0"/>
        <w:ind w:left="120"/>
        <w:jc w:val="both"/>
      </w:pPr>
      <w:r>
        <w:rPr>
          <w:rFonts w:ascii="Times New Roman" w:hAnsi="Times New Roman"/>
          <w:b/>
          <w:i w:val="false"/>
          <w:color w:val="000000"/>
          <w:sz w:val="22"/>
        </w:rPr>
        <w:t>761—524.18</w:t>
      </w:r>
      <w:r>
        <w:rPr>
          <w:rFonts w:ascii="Times New Roman" w:hAnsi="Times New Roman"/>
          <w:b/>
          <w:i w:val="false"/>
          <w:color w:val="000000"/>
          <w:sz w:val="22"/>
        </w:rPr>
        <w:t xml:space="preserve">(325A) </w:t>
      </w:r>
      <w:r>
        <w:rPr>
          <w:rFonts w:ascii="Times New Roman" w:hAnsi="Times New Roman"/>
          <w:b/>
          <w:i w:val="false"/>
          <w:color w:val="000000"/>
          <w:sz w:val="22"/>
        </w:rPr>
        <w:t xml:space="preserve">Hearings. </w:t>
      </w:r>
      <w:r>
        <w:rPr>
          <w:rFonts w:ascii="Times New Roman" w:hAnsi="Times New Roman"/>
          <w:b w:val="false"/>
          <w:i w:val="false"/>
          <w:color w:val="000000"/>
          <w:sz w:val="22"/>
        </w:rPr>
        <w:t xml:space="preserve">A person whose application for a motor carrier permit or certificate has been denied for a reason other than noncompliance with insurance requirements or whose motor carrier permit or certificate has been suspended or revoked for a reason other than noncompliance with insurance requirements may contest the decision in accordance with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for a hearing shall be submitted in writing to the director of the vehicle and motor carrier services bureau. The request shall include, as applicable, the motor carrier’s name, permit or certificate number, complete address and telephone number. The request must be submitted within 20 days after the date of the notice of suspension, revocation 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321.515 and 321.519 and chapter </w:t>
      </w:r>
      <w:hyperlink r:id="rId28">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7/14/99, Notice 5/19/99—published 8/11/99, effective 9/15/99]</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5/8/02, Notice 3/20/02—published 5/29/02, effective 7/3/02]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4346C</w:t>
      </w:r>
      <w:r>
        <w:rPr>
          <w:rFonts w:ascii="Times New Roman" w:hAnsi="Times New Roman"/>
          <w:b w:val="false"/>
          <w:i w:val="false"/>
          <w:color w:val="000000"/>
          <w:sz w:val="21"/>
        </w:rPr>
        <w:t xml:space="preserve"> (Notice ARC 4233C,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4803C</w:t>
      </w:r>
      <w:r>
        <w:rPr>
          <w:rFonts w:ascii="Times New Roman" w:hAnsi="Times New Roman"/>
          <w:b w:val="false"/>
          <w:i w:val="false"/>
          <w:color w:val="000000"/>
          <w:sz w:val="21"/>
        </w:rPr>
        <w:t xml:space="preserve"> (Notice ARC 4681C,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5047C</w:t>
      </w:r>
      <w:r>
        <w:rPr>
          <w:rFonts w:ascii="Times New Roman" w:hAnsi="Times New Roman"/>
          <w:b w:val="false"/>
          <w:i w:val="false"/>
          <w:color w:val="000000"/>
          <w:sz w:val="21"/>
        </w:rPr>
        <w:t xml:space="preserve"> (Notice ARC 4994C, IAB 3/25/20)</w:t>
      </w:r>
      <w:r>
        <w:rPr>
          <w:rFonts w:ascii="Times New Roman" w:hAnsi="Times New Roman"/>
          <w:b w:val="false"/>
          <w:i w:val="false"/>
          <w:color w:val="000000"/>
          <w:sz w:val="21"/>
        </w:rPr>
        <w:t>, IAB 6/3/20, effective 7/8/20]</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[Editorial change: IAC Supplement 7/26/23]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5A.pdf" Type="http://schemas.openxmlformats.org/officeDocument/2006/relationships/hyperlink" Id="rId5"/>
    <Relationship TargetMode="External" Target="https://www.legis.iowa.gov/docs/ico/chapter/321N.1.pdf" Type="http://schemas.openxmlformats.org/officeDocument/2006/relationships/hyperlink" Id="rId6"/>
    <Relationship TargetMode="External" Target="mailto:omcs@iowadot.us" Type="http://schemas.openxmlformats.org/officeDocument/2006/relationships/hyperlink" Id="rId7"/>
    <Relationship TargetMode="External" Target="https://www.legis.iowa.gov/docs/iac/chapter/761.11.pdf" Type="http://schemas.openxmlformats.org/officeDocument/2006/relationships/hyperlink" Id="rId8"/>
    <Relationship TargetMode="External" Target="https://www.legis.iowa.gov/docs/iac/rule/761.524.9.pdf" Type="http://schemas.openxmlformats.org/officeDocument/2006/relationships/hyperlink" Id="rId9"/>
    <Relationship TargetMode="External" Target="https://www.legis.iowa.gov/docs/iac/rule/761.524.10.pdf" Type="http://schemas.openxmlformats.org/officeDocument/2006/relationships/hyperlink" Id="rId10"/>
    <Relationship TargetMode="External" Target="https://www.legis.iowa.gov/docs/iac/rule/761.380.7.pdf" Type="http://schemas.openxmlformats.org/officeDocument/2006/relationships/hyperlink" Id="rId11"/>
    <Relationship TargetMode="External" Target="https://www.legis.iowa.gov/docs/iac/rule/761.400.21.pdf" Type="http://schemas.openxmlformats.org/officeDocument/2006/relationships/hyperlink" Id="rId12"/>
    <Relationship TargetMode="External" Target="https://www.legis.iowa.gov/docs/ico/chapter/325A.pdf" Type="http://schemas.openxmlformats.org/officeDocument/2006/relationships/hyperlink" Id="rId13"/>
    <Relationship TargetMode="External" Target="https://www.legis.iowa.gov/docs/iac/rule/761.524.17.pdf" Type="http://schemas.openxmlformats.org/officeDocument/2006/relationships/hyperlink" Id="rId14"/>
    <Relationship TargetMode="External" Target="https://www.legis.iowa.gov/docs/iac/chapter/661.22.pdf" Type="http://schemas.openxmlformats.org/officeDocument/2006/relationships/hyperlink" Id="rId15"/>
    <Relationship TargetMode="External" Target="mailto:omcs@iowadot.us" Type="http://schemas.openxmlformats.org/officeDocument/2006/relationships/hyperlink" Id="rId16"/>
    <Relationship TargetMode="External" Target="https://www.legis.iowa.gov/docs/ico/chapter/321.449.pdf" Type="http://schemas.openxmlformats.org/officeDocument/2006/relationships/hyperlink" Id="rId17"/>
    <Relationship TargetMode="External" Target="https://www.legis.iowa.gov/docs/ico/chapter/321.450.pdf" Type="http://schemas.openxmlformats.org/officeDocument/2006/relationships/hyperlink" Id="rId18"/>
    <Relationship TargetMode="External" Target="https://www.legis.iowa.gov/docs/ico/chapter/321.463.pdf" Type="http://schemas.openxmlformats.org/officeDocument/2006/relationships/hyperlink" Id="rId19"/>
    <Relationship TargetMode="External" Target="https://www.legis.iowa.gov/docs/ico/chapter/321.1.pdf" Type="http://schemas.openxmlformats.org/officeDocument/2006/relationships/hyperlink" Id="rId20"/>
    <Relationship TargetMode="External" Target="https://www.legis.iowa.gov/docs/iac/rule/761.524.12.pdf" Type="http://schemas.openxmlformats.org/officeDocument/2006/relationships/hyperlink" Id="rId21"/>
    <Relationship TargetMode="External" Target="https://www.legis.iowa.gov/docs/iac/rule/661.22.9.pdf" Type="http://schemas.openxmlformats.org/officeDocument/2006/relationships/hyperlink" Id="rId22"/>
    <Relationship TargetMode="External" Target="https://www.legis.iowa.gov/docs/iac/rule/761.524.15.pdf" Type="http://schemas.openxmlformats.org/officeDocument/2006/relationships/hyperlink" Id="rId23"/>
    <Relationship TargetMode="External" Target="https://www.legis.iowa.gov/docs/iac/rule/761.524.15.pdf" Type="http://schemas.openxmlformats.org/officeDocument/2006/relationships/hyperlink" Id="rId24"/>
    <Relationship TargetMode="External" Target="https://www.legis.iowa.gov/docs/ico/chapter/325A.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ac/chapter/761.13.pdf" Type="http://schemas.openxmlformats.org/officeDocument/2006/relationships/hyperlink" Id="rId27"/>
    <Relationship TargetMode="External" Target="https://www.legis.iowa.gov/docs/ico/chapter/325A.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