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505</w:t>
      </w:r>
    </w:p>
    <w:p>
      <w:pPr>
        <w:spacing w:before="0" w:after="0"/>
        <w:ind w:left="120"/>
        <w:jc w:val="center"/>
      </w:pPr>
      <w:r>
        <w:rPr>
          <w:rFonts w:ascii="Times New Roman" w:hAnsi="Times New Roman"/>
          <w:b w:val="false"/>
          <w:i w:val="false"/>
          <w:color w:val="000000"/>
          <w:sz w:val="21"/>
        </w:rPr>
        <w:t>INTERSTATE MOTOR VEHICLE FUEL LICENSES AND PERMITS</w:t>
      </w:r>
    </w:p>
    <w:p>
      <w:pPr>
        <w:spacing w:before="0" w:after="0"/>
        <w:ind w:left="120"/>
        <w:jc w:val="center"/>
      </w:pPr>
      <w:r>
        <w:rPr>
          <w:rFonts w:ascii="Times New Roman" w:hAnsi="Times New Roman"/>
          <w:b w:val="false"/>
          <w:i w:val="false"/>
          <w:color w:val="000000"/>
          <w:sz w:val="14"/>
        </w:rPr>
        <w:t>[Prior to 6/3/87, Transportation Department[820]—(07,F) Ch7]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761—505.1</w:t>
      </w:r>
      <w:r>
        <w:rPr>
          <w:rFonts w:ascii="Times New Roman" w:hAnsi="Times New Roman"/>
          <w:b/>
          <w:i w:val="false"/>
          <w:color w:val="000000"/>
          <w:sz w:val="22"/>
        </w:rPr>
        <w:t xml:space="preserve">(452A)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fuel” </w:t>
      </w:r>
      <w:r>
        <w:rPr>
          <w:rFonts w:ascii="Times New Roman" w:hAnsi="Times New Roman"/>
          <w:b w:val="false"/>
          <w:i w:val="false"/>
          <w:color w:val="000000"/>
          <w:sz w:val="22"/>
        </w:rPr>
        <w:t xml:space="preserve">means electrical energy delivered or placed into the battery or other energy storage device of an electric motor vehicle from a source outside the motor vehicle for purposes of propelling the motor vehicle as defined in Iowa Code section </w:t>
      </w:r>
      <w:hyperlink r:id="rId5">
        <w:r>
          <w:rPr>
            <w:rStyle w:val="Hyperlink"/>
            <w:rFonts w:ascii="Times New Roman" w:hAnsi="Times New Roman"/>
            <w:b w:val="false"/>
            <w:i w:val="false"/>
            <w:color w:val="000000"/>
            <w:sz w:val="22"/>
          </w:rPr>
          <w:t>452A.40</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2019 Iowa Acts, House File 767</w:t>
      </w:r>
      <w:r>
        <w:rPr>
          <w:rFonts w:ascii="Times New Roman" w:hAnsi="Times New Roman"/>
          <w:b w:val="false"/>
          <w:i w:val="false"/>
          <w:color w:val="000000"/>
          <w:sz w:val="22"/>
        </w:rPr>
        <w:t>, section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 supply tank” </w:t>
      </w:r>
      <w:r>
        <w:rPr>
          <w:rFonts w:ascii="Times New Roman" w:hAnsi="Times New Roman"/>
          <w:b w:val="false"/>
          <w:i w:val="false"/>
          <w:color w:val="000000"/>
          <w:sz w:val="22"/>
        </w:rPr>
        <w:t>means a motor vehicle’s hydrogen fuel cells if the motor vehicle uses hydrogen as a special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“Fuel(s)” </w:t>
      </w:r>
      <w:r>
        <w:rPr>
          <w:rFonts w:ascii="Times New Roman" w:hAnsi="Times New Roman"/>
          <w:b w:val="false"/>
          <w:i w:val="false"/>
          <w:color w:val="000000"/>
          <w:sz w:val="22"/>
        </w:rPr>
        <w:t xml:space="preserve">means and includes motor fuel and special fuel as defined in Iowa Code section </w:t>
      </w:r>
      <w:hyperlink r:id="rId6">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 license”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an International Fuel Tax License issued pursuant to Iowa Code section </w:t>
      </w:r>
      <w:hyperlink r:id="rId7">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“Hydrogen gallon” </w:t>
      </w:r>
      <w:r>
        <w:rPr>
          <w:rFonts w:ascii="Times New Roman" w:hAnsi="Times New Roman"/>
          <w:b w:val="false"/>
          <w:i w:val="false"/>
          <w:color w:val="000000"/>
          <w:sz w:val="22"/>
        </w:rPr>
        <w:t>means a diesel gallon equivalent. A diesel gallon equivalent of hydrogen weighs 2.49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“IFTA member jurisdiction” </w:t>
      </w:r>
      <w:r>
        <w:rPr>
          <w:rFonts w:ascii="Times New Roman" w:hAnsi="Times New Roman"/>
          <w:b w:val="false"/>
          <w:i w:val="false"/>
          <w:color w:val="000000"/>
          <w:sz w:val="22"/>
        </w:rPr>
        <w:t>means a jurisdiction that is a member of the International Fuel Tax Agreement. A list of jurisdictions and their membership statuses may be obtained by contacting the vehicle and motor carrier services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“International Fuel Tax Agreement (IFTA)” </w:t>
      </w:r>
      <w:r>
        <w:rPr>
          <w:rFonts w:ascii="Times New Roman" w:hAnsi="Times New Roman"/>
          <w:b w:val="false"/>
          <w:i w:val="false"/>
          <w:color w:val="000000"/>
          <w:sz w:val="22"/>
        </w:rPr>
        <w:t>is a multijurisdiction agreement for the administration of motor fuel tax laws for vehicles operated in multiple member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“Lease” </w:t>
      </w:r>
      <w:r>
        <w:rPr>
          <w:rFonts w:ascii="Times New Roman" w:hAnsi="Times New Roman"/>
          <w:b w:val="false"/>
          <w:i w:val="false"/>
          <w:color w:val="000000"/>
          <w:sz w:val="22"/>
        </w:rPr>
        <w:t>means a contract or agreement by which a vehicle owner (lessor) provides a vehicle to a person or company (lessee) for use during a specified period of time.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“Long-term lease”</w:t>
      </w:r>
      <w:r>
        <w:rPr>
          <w:rFonts w:ascii="Times New Roman" w:hAnsi="Times New Roman"/>
          <w:b w:val="false"/>
          <w:i w:val="false"/>
          <w:color w:val="000000"/>
          <w:sz w:val="22"/>
        </w:rPr>
        <w:t xml:space="preserve"> means a lease for a period of 30 days or more.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“Short-term lease”</w:t>
      </w:r>
      <w:r>
        <w:rPr>
          <w:rFonts w:ascii="Times New Roman" w:hAnsi="Times New Roman"/>
          <w:b w:val="false"/>
          <w:i w:val="false"/>
          <w:color w:val="000000"/>
          <w:sz w:val="22"/>
        </w:rPr>
        <w:t xml:space="preserve"> means a lease for a period of 29 days or less including trip leases. Back-to-back leases of 29 days or less are considered short-term 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who holds a valid fuel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“Non-IFTA member jurisdiction” </w:t>
      </w:r>
      <w:r>
        <w:rPr>
          <w:rFonts w:ascii="Times New Roman" w:hAnsi="Times New Roman"/>
          <w:b w:val="false"/>
          <w:i w:val="false"/>
          <w:color w:val="000000"/>
          <w:sz w:val="22"/>
        </w:rPr>
        <w:t>means a jurisdiction that is not a member of the International Fuel Tax Agreement. A list of jurisdictions and their membership statuses may be obtained by contacting the vehicle and motor carrier services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“Permittee” </w:t>
      </w:r>
      <w:r>
        <w:rPr>
          <w:rFonts w:ascii="Times New Roman" w:hAnsi="Times New Roman"/>
          <w:b w:val="false"/>
          <w:i w:val="false"/>
          <w:color w:val="000000"/>
          <w:sz w:val="22"/>
        </w:rPr>
        <w:t>means any person who holds a valid temporary fuel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motor vehicle” </w:t>
      </w:r>
      <w:r>
        <w:rPr>
          <w:rFonts w:ascii="Times New Roman" w:hAnsi="Times New Roman"/>
          <w:b w:val="false"/>
          <w:i w:val="false"/>
          <w:color w:val="000000"/>
          <w:sz w:val="22"/>
        </w:rPr>
        <w:t>means a motor vehicle or combination of vehicles used or designed to transport persons or property if any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vehicle or combination of vehicles weighs more than 26,000 pounds.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vehicle or combination of vehicles is registered for more than 26,000 pounds.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power unit has three or more axles.</w:t>
      </w:r>
    </w:p>
    <w:p>
      <w:pPr>
        <w:spacing w:before="0" w:after="0"/>
        <w:ind w:left="120"/>
        <w:jc w:val="both"/>
      </w:pPr>
      <w:r>
        <w:rPr>
          <w:rFonts w:ascii="Times New Roman" w:hAnsi="Times New Roman"/>
          <w:b w:val="false"/>
          <w:i w:val="false"/>
          <w:color w:val="000000"/>
          <w:sz w:val="22"/>
        </w:rPr>
        <w:t>“Qualified motor vehicle” does not include recreational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“Quarter” </w:t>
      </w:r>
      <w:r>
        <w:rPr>
          <w:rFonts w:ascii="Times New Roman" w:hAnsi="Times New Roman"/>
          <w:b w:val="false"/>
          <w:i w:val="false"/>
          <w:color w:val="000000"/>
          <w:sz w:val="22"/>
        </w:rPr>
        <w:t>means calendar quarter, January 1 to March 31, April 1 to June 30, July 1 to September 30, and October 1 to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fuel permit”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“temporary permit” </w:t>
      </w:r>
      <w:r>
        <w:rPr>
          <w:rFonts w:ascii="Times New Roman" w:hAnsi="Times New Roman"/>
          <w:b w:val="false"/>
          <w:i w:val="false"/>
          <w:color w:val="000000"/>
          <w:sz w:val="22"/>
        </w:rPr>
        <w:t xml:space="preserve">means a single trip fuel permit issued pursuant to Iowa Code section </w:t>
      </w:r>
      <w:hyperlink r:id="rId8">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In addition to the preceding definitions, all of the definitions contained in Iowa Code sections </w:t>
      </w:r>
      <w:hyperlink r:id="rId9">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452A.57</w:t>
        </w:r>
      </w:hyperlink>
      <w:r>
        <w:rPr>
          <w:rFonts w:ascii="Times New Roman" w:hAnsi="Times New Roman"/>
          <w:b w:val="false"/>
          <w:i w:val="false"/>
          <w:color w:val="000000"/>
          <w:sz w:val="22"/>
        </w:rPr>
        <w:t xml:space="preserve"> shall govern the rules in this chapter, where not inconsistent with the above definitions.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452A.57</w:t>
        </w:r>
      </w:hyperlink>
      <w:r>
        <w:rPr>
          <w:rFonts w:ascii="Times New Roman" w:hAnsi="Times New Roman"/>
          <w:b w:val="false"/>
          <w:i w:val="false"/>
          <w:color w:val="000000"/>
          <w:sz w:val="22"/>
        </w:rPr>
        <w:t xml:space="preserve"> and section </w:t>
      </w:r>
      <w:hyperlink r:id="rId13">
        <w:r>
          <w:rPr>
            <w:rStyle w:val="Hyperlink"/>
            <w:rFonts w:ascii="Times New Roman" w:hAnsi="Times New Roman"/>
            <w:b w:val="false"/>
            <w:i w:val="false"/>
            <w:color w:val="000000"/>
            <w:sz w:val="22"/>
          </w:rPr>
          <w:t>452A.40</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2019 Iowa Acts, House File 767</w:t>
      </w:r>
      <w:r>
        <w:rPr>
          <w:rFonts w:ascii="Times New Roman" w:hAnsi="Times New Roman"/>
          <w:b w:val="false"/>
          <w:i w:val="false"/>
          <w:color w:val="000000"/>
          <w:sz w:val="22"/>
        </w:rPr>
        <w:t>, section 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5178C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761—505.2</w:t>
      </w:r>
      <w:r>
        <w:rPr>
          <w:rFonts w:ascii="Times New Roman" w:hAnsi="Times New Roman"/>
          <w:b/>
          <w:i w:val="false"/>
          <w:color w:val="000000"/>
          <w:sz w:val="22"/>
        </w:rPr>
        <w:t xml:space="preserve">(452A)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on interstate motor vehicle fuel permits and licenses are available by mail from the Vehicle and Motor Carrier Services Bureau, Iowa Department of Transportation, P.O. Box 10382, Des Moines, Iowa 50306-0382; in person at 6310 SE Convenience Blvd., Ankeny, Iowa; by telephone at (515)237-3268; by facsimile at (515)237-3225; by email at </w:t>
      </w:r>
      <w:hyperlink r:id="rId14">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 xml:space="preserve">; or on the department’s website at </w:t>
      </w:r>
      <w:hyperlink r:id="rId1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505.2(2)</w:t>
      </w:r>
      <w:r>
        <w:rPr>
          <w:rFonts w:ascii="Times New Roman" w:hAnsi="Times New Roman"/>
          <w:b w:val="false"/>
          <w:i w:val="false"/>
          <w:color w:val="000000"/>
          <w:sz w:val="22"/>
        </w:rPr>
        <w:t> </w:t>
      </w:r>
      <w:r>
        <w:rPr>
          <w:rFonts w:ascii="Times New Roman" w:hAnsi="Times New Roman"/>
          <w:b w:val="false"/>
          <w:i/>
          <w:color w:val="000000"/>
          <w:sz w:val="22"/>
        </w:rPr>
        <w:t xml:space="preserve">Organizational data. </w:t>
      </w:r>
      <w:r>
        <w:rPr>
          <w:rFonts w:ascii="Times New Roman" w:hAnsi="Times New Roman"/>
          <w:b w:val="false"/>
          <w:i w:val="false"/>
          <w:color w:val="000000"/>
          <w:sz w:val="22"/>
        </w:rPr>
        <w:t xml:space="preserve">The vehicle and motor carrier services bureau is authorized, pursuant to Iowa Code chapter </w:t>
      </w:r>
      <w:hyperlink r:id="rId1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division III,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fuel licenses or temporary fuel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Compute and collect interstate motor fuel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Refund overpayments of interstate fuel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agreements with other jurisdictions for the collection and refund of interstate motor fuel tax. In accordance with this, the department has adopted the International Fuel Tax Agreement (IFTA). Such agreement and any revisions thereto are hereby incorporated into this chapter. International Fuel Tax Agreement governing documents do not create rights in the taxpayer. A copy of the agreement may be reviewed at </w:t>
      </w:r>
      <w:hyperlink r:id="rId17">
        <w:r>
          <w:rPr>
            <w:rStyle w:val="Hyperlink"/>
            <w:rFonts w:ascii="Times New Roman" w:hAnsi="Times New Roman"/>
            <w:b w:val="false"/>
            <w:i w:val="false"/>
            <w:color w:val="000000"/>
            <w:sz w:val="22"/>
            <w:u w:val="single"/>
          </w:rPr>
          <w:t>www.iftach.org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505.2(3)</w:t>
      </w:r>
      <w:r>
        <w:rPr>
          <w:rFonts w:ascii="Times New Roman" w:hAnsi="Times New Roman"/>
          <w:b w:val="false"/>
          <w:i w:val="false"/>
          <w:color w:val="000000"/>
          <w:sz w:val="22"/>
        </w:rPr>
        <w:t> </w:t>
      </w:r>
      <w:r>
        <w:rPr>
          <w:rFonts w:ascii="Times New Roman" w:hAnsi="Times New Roman"/>
          <w:b w:val="false"/>
          <w:i/>
          <w:color w:val="000000"/>
          <w:sz w:val="22"/>
        </w:rPr>
        <w:t xml:space="preserve">Waiver of rules. </w:t>
      </w:r>
      <w:r>
        <w:rPr>
          <w:rFonts w:ascii="Times New Roman" w:hAnsi="Times New Roman"/>
          <w:b w:val="false"/>
          <w:i w:val="false"/>
          <w:color w:val="000000"/>
          <w:sz w:val="22"/>
        </w:rPr>
        <w:t xml:space="preserve">In accordance with </w:t>
      </w:r>
      <w:hyperlink r:id="rId18">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the director of transportation may, in response to a petition, waive provisions of this chapter. A waiver shall not be granted unless the director finds that special or emergency circumstances exist.</w:t>
      </w:r>
    </w:p>
    <w:p>
      <w:pPr>
        <w:spacing w:before="0" w:after="0"/>
        <w:ind w:left="120"/>
        <w:jc w:val="both"/>
      </w:pPr>
      <w:r>
        <w:rPr>
          <w:rFonts w:ascii="Times New Roman" w:hAnsi="Times New Roman"/>
          <w:b w:val="false"/>
          <w:i w:val="false"/>
          <w:color w:val="000000"/>
          <w:sz w:val="22"/>
        </w:rPr>
        <w:t>“Special or emergency circumstances” means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involves emergency-type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452A.51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452A.56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5178C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761—505.3</w:t>
      </w:r>
      <w:r>
        <w:rPr>
          <w:rFonts w:ascii="Times New Roman" w:hAnsi="Times New Roman"/>
          <w:b/>
          <w:i w:val="false"/>
          <w:color w:val="000000"/>
          <w:sz w:val="22"/>
        </w:rPr>
        <w:t xml:space="preserve">(452A) </w:t>
      </w:r>
      <w:r>
        <w:rPr>
          <w:rFonts w:ascii="Times New Roman" w:hAnsi="Times New Roman"/>
          <w:b/>
          <w:i w:val="false"/>
          <w:color w:val="000000"/>
          <w:sz w:val="22"/>
        </w:rPr>
        <w:t xml:space="preserve">General stipulations.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w:t>
      </w:r>
      <w:r>
        <w:rPr>
          <w:rFonts w:ascii="Times New Roman" w:hAnsi="Times New Roman"/>
          <w:b w:val="false"/>
          <w:i w:val="false"/>
          <w:color w:val="000000"/>
          <w:sz w:val="22"/>
        </w:rPr>
        <w:t> </w:t>
      </w:r>
      <w:r>
        <w:rPr>
          <w:rFonts w:ascii="Times New Roman" w:hAnsi="Times New Roman"/>
          <w:b w:val="false"/>
          <w:i/>
          <w:color w:val="000000"/>
          <w:sz w:val="22"/>
        </w:rPr>
        <w:t xml:space="preserve">IFTA member requirements. </w:t>
      </w:r>
      <w:r>
        <w:rPr>
          <w:rFonts w:ascii="Times New Roman" w:hAnsi="Times New Roman"/>
          <w:b w:val="false"/>
          <w:i w:val="false"/>
          <w:color w:val="000000"/>
          <w:sz w:val="22"/>
        </w:rPr>
        <w:t xml:space="preserve">In order to enter this state and not be in violation of Iowa Code section </w:t>
      </w:r>
      <w:hyperlink r:id="rId21">
        <w:r>
          <w:rPr>
            <w:rStyle w:val="Hyperlink"/>
            <w:rFonts w:ascii="Times New Roman" w:hAnsi="Times New Roman"/>
            <w:b w:val="false"/>
            <w:i w:val="false"/>
            <w:color w:val="000000"/>
            <w:sz w:val="22"/>
          </w:rPr>
          <w:t>452A.52</w:t>
        </w:r>
      </w:hyperlink>
      <w:r>
        <w:rPr>
          <w:rFonts w:ascii="Times New Roman" w:hAnsi="Times New Roman"/>
          <w:b w:val="false"/>
          <w:i w:val="false"/>
          <w:color w:val="000000"/>
          <w:sz w:val="22"/>
        </w:rPr>
        <w:t>, the operator of the qualified motor vehicle based in an IFTA member jurisdiction must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fuel license pursuant to Iowa Code section </w:t>
      </w:r>
      <w:hyperlink r:id="rId22">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a temporary fuel permit pursuant to Iowa Code section </w:t>
      </w:r>
      <w:hyperlink r:id="rId23">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and subrule </w:t>
      </w:r>
      <w:hyperlink r:id="rId24">
        <w:r>
          <w:rPr>
            <w:rStyle w:val="Hyperlink"/>
            <w:rFonts w:ascii="Times New Roman" w:hAnsi="Times New Roman"/>
            <w:b w:val="false"/>
            <w:i w:val="false"/>
            <w:color w:val="000000"/>
            <w:sz w:val="22"/>
          </w:rPr>
          <w:t>505.3(9)</w:t>
        </w:r>
      </w:hyperlink>
      <w:r>
        <w:rPr>
          <w:rFonts w:ascii="Times New Roman" w:hAnsi="Times New Roman"/>
          <w:b w:val="false"/>
          <w:i w:val="false"/>
          <w:color w:val="000000"/>
          <w:sz w:val="22"/>
        </w:rPr>
        <w:t xml:space="preserve"> when entering or before entering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505.3(2)</w:t>
      </w:r>
      <w:r>
        <w:rPr>
          <w:rFonts w:ascii="Times New Roman" w:hAnsi="Times New Roman"/>
          <w:b w:val="false"/>
          <w:i w:val="false"/>
          <w:color w:val="000000"/>
          <w:sz w:val="22"/>
        </w:rPr>
        <w:t> </w:t>
      </w:r>
      <w:r>
        <w:rPr>
          <w:rFonts w:ascii="Times New Roman" w:hAnsi="Times New Roman"/>
          <w:b w:val="false"/>
          <w:i/>
          <w:color w:val="000000"/>
          <w:sz w:val="22"/>
        </w:rPr>
        <w:t xml:space="preserve">Non-IFTA member requirements. </w:t>
      </w:r>
      <w:r>
        <w:rPr>
          <w:rFonts w:ascii="Times New Roman" w:hAnsi="Times New Roman"/>
          <w:b w:val="false"/>
          <w:i w:val="false"/>
          <w:color w:val="000000"/>
          <w:sz w:val="22"/>
        </w:rPr>
        <w:t>The operator of a qualified motor vehicle based in a non-IFTA member jurisdiction must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fuel license pursuant to Iowa Code section </w:t>
      </w:r>
      <w:hyperlink r:id="rId25">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a temporary fuel permit pursuant to Iowa Code section </w:t>
      </w:r>
      <w:hyperlink r:id="rId26">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and subrule </w:t>
      </w:r>
      <w:hyperlink r:id="rId27">
        <w:r>
          <w:rPr>
            <w:rStyle w:val="Hyperlink"/>
            <w:rFonts w:ascii="Times New Roman" w:hAnsi="Times New Roman"/>
            <w:b w:val="false"/>
            <w:i w:val="false"/>
            <w:color w:val="000000"/>
            <w:sz w:val="22"/>
          </w:rPr>
          <w:t>505.3(9)</w:t>
        </w:r>
      </w:hyperlink>
      <w:r>
        <w:rPr>
          <w:rFonts w:ascii="Times New Roman" w:hAnsi="Times New Roman"/>
          <w:b w:val="false"/>
          <w:i w:val="false"/>
          <w:color w:val="000000"/>
          <w:sz w:val="22"/>
        </w:rPr>
        <w:t xml:space="preserve"> when entering or before entering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Enter the state with 30 gallons of fuel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or after July 1, 2023, enter the state with less than 350 kilowatt hours of electric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Enter the state with only Iowa tax paid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fuel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determine if a vehicle has entered the state with more than 30 gallons of fuel, the total of all fuel in all tanks that could be used to fuel the power source of the vehicle shall be considered to reach a total gallonage, or diesel gallon equivalent. The fuel tank connected to a “reefer unit” which can neither be directly nor indirectly connected to the power source of the vehicle shall not be considered in arriving at the 30-gallon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determine if a vehicle has entered the state with more than 350 kilowatt hours of electric fuel, the total of all electric fuel in the batteries or other energy storage devices of a commercial motor vehicle shall be considered to reach total kilowatt hours, regardless of whether the batteries or storage devices are connected to the motor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505.3(4)</w:t>
      </w:r>
      <w:r>
        <w:rPr>
          <w:rFonts w:ascii="Times New Roman" w:hAnsi="Times New Roman"/>
          <w:b w:val="false"/>
          <w:i w:val="false"/>
          <w:color w:val="000000"/>
          <w:sz w:val="22"/>
        </w:rPr>
        <w:t> </w:t>
      </w:r>
      <w:r>
        <w:rPr>
          <w:rFonts w:ascii="Times New Roman" w:hAnsi="Times New Roman"/>
          <w:b w:val="false"/>
          <w:i/>
          <w:color w:val="000000"/>
          <w:sz w:val="22"/>
        </w:rPr>
        <w:t xml:space="preserve">Fuel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fuel license may be obtained from the vehicle and motor carrier services bureau at a cost of $10. The application must be complete and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company, corporation, or owner who operates or controls the qualified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Name(s) and address(es) of principal or corporate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Signature and telephone number of contact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power of attorney if someone other than an officer or employee of the company will be completing quarterly reports or requesting information from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fuel license remains valid until canceled or revoked. The reporting and computation procedure for a fuel license allows for the payment of taxes due and a refund of any overpayment. All persons holding a valid fuel license must file quarterly reports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505.3(5)</w:t>
      </w:r>
      <w:r>
        <w:rPr>
          <w:rFonts w:ascii="Times New Roman" w:hAnsi="Times New Roman"/>
          <w:b w:val="false"/>
          <w:i w:val="false"/>
          <w:color w:val="000000"/>
          <w:sz w:val="22"/>
        </w:rPr>
        <w:t> </w:t>
      </w:r>
      <w:r>
        <w:rPr>
          <w:rFonts w:ascii="Times New Roman" w:hAnsi="Times New Roman"/>
          <w:b w:val="false"/>
          <w:i/>
          <w:color w:val="000000"/>
          <w:sz w:val="22"/>
        </w:rPr>
        <w:t xml:space="preserve">Number of temporary permits or licenses required. </w:t>
      </w:r>
      <w:r>
        <w:rPr>
          <w:rFonts w:ascii="Times New Roman" w:hAnsi="Times New Roman"/>
          <w:b w:val="false"/>
          <w:i w:val="false"/>
          <w:color w:val="000000"/>
          <w:sz w:val="22"/>
        </w:rPr>
        <w:t>No vehicle may operate under more than one license or temporary permit at a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505.3(6)</w:t>
      </w:r>
      <w:r>
        <w:rPr>
          <w:rFonts w:ascii="Times New Roman" w:hAnsi="Times New Roman"/>
          <w:b w:val="false"/>
          <w:i w:val="false"/>
          <w:color w:val="000000"/>
          <w:sz w:val="22"/>
        </w:rPr>
        <w:t> </w:t>
      </w:r>
      <w:r>
        <w:rPr>
          <w:rFonts w:ascii="Times New Roman" w:hAnsi="Times New Roman"/>
          <w:b w:val="false"/>
          <w:i/>
          <w:color w:val="000000"/>
          <w:sz w:val="22"/>
        </w:rPr>
        <w:t xml:space="preserve">Possession of the license or temporary permit. </w:t>
      </w:r>
      <w:r>
        <w:rPr>
          <w:rFonts w:ascii="Times New Roman" w:hAnsi="Times New Roman"/>
          <w:b w:val="false"/>
          <w:i w:val="false"/>
          <w:color w:val="000000"/>
          <w:sz w:val="22"/>
        </w:rPr>
        <w:t xml:space="preserve">A license or temporary permit must be carried in the vehicle to meet the requirements of Iowa Code chapter </w:t>
      </w:r>
      <w:hyperlink r:id="rId28">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More than one vehicle may be operated and reported under the same license by making a photocopy of the license and carrying it in each vehicle operating under said license. A license, copy of a license or temporary permit is void if altered. A duplicate license may be purchased from the vehicle and motor carrier services bureau for 50 cents.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505.3(7)</w:t>
      </w:r>
      <w:r>
        <w:rPr>
          <w:rFonts w:ascii="Times New Roman" w:hAnsi="Times New Roman"/>
          <w:b w:val="false"/>
          <w:i w:val="false"/>
          <w:color w:val="000000"/>
          <w:sz w:val="22"/>
        </w:rPr>
        <w:t> </w:t>
      </w:r>
      <w:r>
        <w:rPr>
          <w:rFonts w:ascii="Times New Roman" w:hAnsi="Times New Roman"/>
          <w:b w:val="false"/>
          <w:i/>
          <w:color w:val="000000"/>
          <w:sz w:val="22"/>
        </w:rPr>
        <w:t xml:space="preserve">Cancellation and reissuance.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qualified motor vehicle operating under a license is consistently operated only within the state or only outside the state, the licensee or the department shall request that the license be canceled for nonuse.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fuel license that has been canceled for cause pursuant to Iowa Code section </w:t>
      </w:r>
      <w:hyperlink r:id="rId29">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 xml:space="preserve"> may be reinstated if a bond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505.3(8)</w:t>
      </w:r>
      <w:r>
        <w:rPr>
          <w:rFonts w:ascii="Times New Roman" w:hAnsi="Times New Roman"/>
          <w:b w:val="false"/>
          <w:i w:val="false"/>
          <w:color w:val="000000"/>
          <w:sz w:val="22"/>
        </w:rPr>
        <w:t> </w:t>
      </w:r>
      <w:r>
        <w:rPr>
          <w:rFonts w:ascii="Times New Roman" w:hAnsi="Times New Roman"/>
          <w:b w:val="false"/>
          <w:i/>
          <w:color w:val="000000"/>
          <w:sz w:val="22"/>
        </w:rPr>
        <w:t xml:space="preserve">Bond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Bonds shall be required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previous fuel licensee is reapplying for a fuel license and has two or more outstanding fuel billings due for periods within the three years prior to date of application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previous fuel licensee is reapplying for a new fuel license and has failed to file two or more reports for a calendar year within the three years prior to date of application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previous fuel licensee is reapplying for a new license and has filed reports late for two or more reporting periods for a calendar year within the three years prior to date of application for a new fuel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an audit indicates problems severe enough that a bond is required to protect the interests of member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Bonds required shall be payable to the state of Iowa, in the minimum amount of $500 or the equivalent to at least twice the estimated average tax liability for the reporting period in which the licensee will be required to file a tax return,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such bond shall be filed with the vehicle and motor carrier services bureau before a new license shall be issued. The vehicle and motor carrier services bureau shall be notified of bond cancellation 30 days before the cancellation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505.3(9)</w:t>
      </w:r>
      <w:r>
        <w:rPr>
          <w:rFonts w:ascii="Times New Roman" w:hAnsi="Times New Roman"/>
          <w:b w:val="false"/>
          <w:i w:val="false"/>
          <w:color w:val="000000"/>
          <w:sz w:val="22"/>
        </w:rPr>
        <w:t> </w:t>
      </w:r>
      <w:r>
        <w:rPr>
          <w:rFonts w:ascii="Times New Roman" w:hAnsi="Times New Roman"/>
          <w:b w:val="false"/>
          <w:i/>
          <w:color w:val="000000"/>
          <w:sz w:val="22"/>
        </w:rPr>
        <w:t xml:space="preserve">Temporary fuel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fuel permit may be obtained by any person operating a qualified motor vehicle that is not otherwise covered by a license. The temporary permit may be obtained from the vehicle and motor carrier services bureau at a cost of $20. The temporary permit may also be obtained from permit services or processing agents. An application for a temporary permit may be made by phone, by facsimile or electronically to the vehicle and motor carrier services bureau. Permittees who purchase temporary fuel permits in advance of use may not return unused permits for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temporary fuel permit is valid for 72 consecutive hours from the date and hour appearing on the temporary permit or upon departure from Iowa, whichever occurs first. A new temporary permit is required in order to reenter the state. While a permittee is operating under a temporary permit, unlimited travel is allowed within Iowa. No refund of tax paid on overpurchases of Iowa fuel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fuel permit shall include, but is not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who owns or controls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make, year, serial number, license number, and unit number of the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 to which the temporary permit is to be sent,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temporary permit fee shall also accompany the application unless a method of collection upon delivery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temporary permit shall not be transferred and is valid only for the carrier and the vehicle that are described on the permit. Once a temporary permit has been issued to a qualified motor vehicle, the purchase price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temporary permit must be completed and carried in the qualified motor vehicle for which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72-hour period for which the temporary permit is valid may be extended for “emergencies,” such as extreme weather conditions when travel is not advisable or other instances, at the discretion of the vehicle and motor carrier services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temporary fuel permit is invalid if the permittee has outstanding IFTA fuel tax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a temporary permit may be paid by cash, company or personal check, or credit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505.3(10)</w:t>
      </w:r>
      <w:r>
        <w:rPr>
          <w:rFonts w:ascii="Times New Roman" w:hAnsi="Times New Roman"/>
          <w:b w:val="false"/>
          <w:i w:val="false"/>
          <w:color w:val="000000"/>
          <w:sz w:val="22"/>
        </w:rPr>
        <w:t> </w:t>
      </w:r>
      <w:r>
        <w:rPr>
          <w:rFonts w:ascii="Times New Roman" w:hAnsi="Times New Roman"/>
          <w:b w:val="false"/>
          <w:i/>
          <w:color w:val="000000"/>
          <w:sz w:val="22"/>
        </w:rPr>
        <w:t xml:space="preserve">Qualified motor vehicles on lease.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Long-term lease. </w:t>
      </w:r>
      <w:r>
        <w:rPr>
          <w:rFonts w:ascii="Times New Roman" w:hAnsi="Times New Roman"/>
          <w:b w:val="false"/>
          <w:i w:val="false"/>
          <w:color w:val="000000"/>
          <w:sz w:val="22"/>
        </w:rPr>
        <w:t>Under normal circumstances the lessee is responsible for reporting all mileage and fuel activity unless otherwise specified by the lease. Supporting documentation including the lease must be made available to confirm the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Short-term lease. </w:t>
      </w:r>
      <w:r>
        <w:rPr>
          <w:rFonts w:ascii="Times New Roman" w:hAnsi="Times New Roman"/>
          <w:b w:val="false"/>
          <w:i w:val="false"/>
          <w:color w:val="000000"/>
          <w:sz w:val="22"/>
        </w:rPr>
        <w:t>The lessor is responsible for reporting all mileage and fuel activity unless otherwise specified by the lease. Supporting documentation such as a maintenance agreement or lease must be made available to confirm the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Purchase receipts. </w:t>
      </w:r>
      <w:r>
        <w:rPr>
          <w:rFonts w:ascii="Times New Roman" w:hAnsi="Times New Roman"/>
          <w:b w:val="false"/>
          <w:i w:val="false"/>
          <w:color w:val="000000"/>
          <w:sz w:val="22"/>
        </w:rPr>
        <w:t>Purchase receipts must be made out in the name of the lessor, lessee or cash and must identify the vehicle for which the purchase is made by showing one of the following: vehicle license number, full vehicle identification number (VIN) or fleet unit number.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452A.52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452A.58</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5178C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761—505.4</w:t>
      </w:r>
      <w:r>
        <w:rPr>
          <w:rFonts w:ascii="Times New Roman" w:hAnsi="Times New Roman"/>
          <w:b/>
          <w:i w:val="false"/>
          <w:color w:val="000000"/>
          <w:sz w:val="22"/>
        </w:rPr>
        <w:t xml:space="preserve">(452A) </w:t>
      </w:r>
      <w:r>
        <w:rPr>
          <w:rFonts w:ascii="Times New Roman" w:hAnsi="Times New Roman"/>
          <w:b/>
          <w:i w:val="false"/>
          <w:color w:val="000000"/>
          <w:sz w:val="22"/>
        </w:rPr>
        <w:t xml:space="preserve">Quarterly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w:t>
      </w:r>
      <w:r>
        <w:rPr>
          <w:rFonts w:ascii="Times New Roman" w:hAnsi="Times New Roman"/>
          <w:b w:val="false"/>
          <w:i w:val="false"/>
          <w:color w:val="000000"/>
          <w:sz w:val="22"/>
        </w:rPr>
        <w:t>All valid fuel licensees shall file quarterly reports with the department. If a licensee has not traveled in Iowa, the report shall still be filed. Failure to file is cause for revocation of the license and assessment of a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505.4(2)</w:t>
      </w:r>
      <w:r>
        <w:rPr>
          <w:rFonts w:ascii="Times New Roman" w:hAnsi="Times New Roman"/>
          <w:b w:val="false"/>
          <w:i w:val="false"/>
          <w:color w:val="000000"/>
          <w:sz w:val="22"/>
        </w:rPr>
        <w:t> </w:t>
      </w:r>
      <w:r>
        <w:rPr>
          <w:rFonts w:ascii="Times New Roman" w:hAnsi="Times New Roman"/>
          <w:b w:val="false"/>
          <w:i/>
          <w:color w:val="000000"/>
          <w:sz w:val="22"/>
        </w:rPr>
        <w:t xml:space="preserve">Filing deadline. </w:t>
      </w:r>
      <w:r>
        <w:rPr>
          <w:rFonts w:ascii="Times New Roman" w:hAnsi="Times New Roman"/>
          <w:b w:val="false"/>
          <w:i w:val="false"/>
          <w:color w:val="000000"/>
          <w:sz w:val="22"/>
        </w:rPr>
        <w:t xml:space="preserve">All persons holding a valid fuel license, pursuant to the provisions of Iowa Code section </w:t>
      </w:r>
      <w:hyperlink r:id="rId35">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shall file quarterly reports with the department and either remit any tax due no later than the last day of the month following the last day of the quarter covered by the report, or request a refund no later than the last day of the third month following the last day of the quarter covered by the report. If the claim for refund is filed after that date, the refund shall be disallowed.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505.4(3)</w:t>
      </w:r>
      <w:r>
        <w:rPr>
          <w:rFonts w:ascii="Times New Roman" w:hAnsi="Times New Roman"/>
          <w:b w:val="false"/>
          <w:i w:val="false"/>
          <w:color w:val="000000"/>
          <w:sz w:val="22"/>
        </w:rPr>
        <w:t> </w:t>
      </w:r>
      <w:r>
        <w:rPr>
          <w:rFonts w:ascii="Times New Roman" w:hAnsi="Times New Roman"/>
          <w:b w:val="false"/>
          <w:i/>
          <w:color w:val="000000"/>
          <w:sz w:val="22"/>
        </w:rPr>
        <w:t xml:space="preserve">Reporting multiple vehicles on single license. </w:t>
      </w:r>
      <w:r>
        <w:rPr>
          <w:rFonts w:ascii="Times New Roman" w:hAnsi="Times New Roman"/>
          <w:b w:val="false"/>
          <w:i w:val="false"/>
          <w:color w:val="000000"/>
          <w:sz w:val="22"/>
        </w:rPr>
        <w:t>The licensee shall select which vehicles may be operated under the license. All miles traveled, interstate and intrastate, and all fuel purchased for those vehicles shall be reported on a consistent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505.4(4)</w:t>
      </w:r>
      <w:r>
        <w:rPr>
          <w:rFonts w:ascii="Times New Roman" w:hAnsi="Times New Roman"/>
          <w:b w:val="false"/>
          <w:i w:val="false"/>
          <w:color w:val="000000"/>
          <w:sz w:val="22"/>
        </w:rPr>
        <w:t> </w:t>
      </w:r>
      <w:r>
        <w:rPr>
          <w:rFonts w:ascii="Times New Roman" w:hAnsi="Times New Roman"/>
          <w:b w:val="false"/>
          <w:i/>
          <w:color w:val="000000"/>
          <w:sz w:val="22"/>
        </w:rPr>
        <w:t xml:space="preserve">Tax refund. </w:t>
      </w:r>
      <w:r>
        <w:rPr>
          <w:rFonts w:ascii="Times New Roman" w:hAnsi="Times New Roman"/>
          <w:b w:val="false"/>
          <w:i w:val="false"/>
          <w:color w:val="000000"/>
          <w:sz w:val="22"/>
        </w:rPr>
        <w:t>Refunds shall be computed separately for each fuel type. If a refund for a fuel type does not exceed $10, it shall not be processed unless there is more than one type of fuel reported on one return and the combined refunds for all fuel types exceed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505.4(5)</w:t>
      </w:r>
      <w:r>
        <w:rPr>
          <w:rFonts w:ascii="Times New Roman" w:hAnsi="Times New Roman"/>
          <w:b w:val="false"/>
          <w:i w:val="false"/>
          <w:color w:val="000000"/>
          <w:sz w:val="22"/>
        </w:rPr>
        <w:t> </w:t>
      </w:r>
      <w:r>
        <w:rPr>
          <w:rFonts w:ascii="Times New Roman" w:hAnsi="Times New Roman"/>
          <w:b w:val="false"/>
          <w:i/>
          <w:color w:val="000000"/>
          <w:sz w:val="22"/>
        </w:rPr>
        <w:t xml:space="preserve">Refunds of tax on fuel purchased in Iowa and consumed out of Iowa. </w:t>
      </w:r>
      <w:r>
        <w:rPr>
          <w:rFonts w:ascii="Times New Roman" w:hAnsi="Times New Roman"/>
          <w:b w:val="false"/>
          <w:i w:val="false"/>
          <w:color w:val="000000"/>
          <w:sz w:val="22"/>
        </w:rPr>
        <w:t xml:space="preserve">Even though fuel is purchased in Iowa, fuel tax is paid in Iowa, and the excess fuel tax paid is subject to refund under the provisions of Iowa Code chapter </w:t>
      </w:r>
      <w:hyperlink r:id="rId3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division III, relating to interstate motor vehicle operation, the refund is not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505.4(6)</w:t>
      </w:r>
      <w:r>
        <w:rPr>
          <w:rFonts w:ascii="Times New Roman" w:hAnsi="Times New Roman"/>
          <w:b w:val="false"/>
          <w:i w:val="false"/>
          <w:color w:val="000000"/>
          <w:sz w:val="22"/>
        </w:rPr>
        <w:t> </w:t>
      </w:r>
      <w:r>
        <w:rPr>
          <w:rFonts w:ascii="Times New Roman" w:hAnsi="Times New Roman"/>
          <w:b w:val="false"/>
          <w:i/>
          <w:color w:val="000000"/>
          <w:sz w:val="22"/>
        </w:rPr>
        <w:t xml:space="preserve">Timely filing of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interstate fuel tax report required under Iowa Code section </w:t>
      </w:r>
      <w:hyperlink r:id="rId37">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shall be deemed timely filed if received by the vehicle and motor carrier services bureau or postpaid, properly addressed, and postmarked by the United States Postal Service on or before midnight of the filing deadline. If the filing date falls on a Saturday, Sunday, or legal holiday, the next secular or business day shall be the filing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reports and remittances shall be filed online at the department’s website; mailed to the Vehicle and Motor Carrier Services Bureau, Iowa Department of Transportation, P.O. Box 10382, Des Moines, Iowa 50306-0382; delivered in person to 6310 SE Convenience Blvd., Ankeny, Iowa; or sent by facsimile to (515)237-3225.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report or remittance is not received by the department and the taxpayer can prove by competent evidence that the return or remittance was timely filed, the report shall be considered timely filed. For the purpose of this rule, competent evidence means evidence in addition to the testimony of the sender sufficient or adequate to prove that the document was mailed on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505.4(7)</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to file. </w:t>
      </w:r>
      <w:r>
        <w:rPr>
          <w:rFonts w:ascii="Times New Roman" w:hAnsi="Times New Roman"/>
          <w:b w:val="false"/>
          <w:i w:val="false"/>
          <w:color w:val="000000"/>
          <w:sz w:val="22"/>
        </w:rPr>
        <w:t xml:space="preserve">The department may grant an extension for the filing of any required report or tax payment. In order for an extension to be granted, the application requesting such extension must be filed with the department prior to the due date of the report or remittance. In determining whether an application for extension is timely filed, the provisions of subrules </w:t>
      </w:r>
      <w:hyperlink r:id="rId38">
        <w:r>
          <w:rPr>
            <w:rStyle w:val="Hyperlink"/>
            <w:rFonts w:ascii="Times New Roman" w:hAnsi="Times New Roman"/>
            <w:b w:val="false"/>
            <w:i w:val="false"/>
            <w:color w:val="000000"/>
            <w:sz w:val="22"/>
          </w:rPr>
          <w:t>505.4(2)</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505.4(6)</w:t>
        </w:r>
      </w:hyperlink>
      <w:r>
        <w:rPr>
          <w:rFonts w:ascii="Times New Roman" w:hAnsi="Times New Roman"/>
          <w:b w:val="false"/>
          <w:i w:val="false"/>
          <w:color w:val="000000"/>
          <w:sz w:val="22"/>
        </w:rPr>
        <w:t xml:space="preserve"> shall apply. The application for extension shall be accompanied by an explanation of the circumstances justifying an extension. Any extension granted shall be documented on a form issued by the department indicating the length of the extension. This form shall be attached to the report when it is filed. If an extension is granted, the penalties under Iowa Code section </w:t>
      </w:r>
      <w:hyperlink r:id="rId40">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xml:space="preserve"> applicable to a late-filed report or remittance shall not accrue until the expiration of the extension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505.4(8)</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penalty of $50 or 10 percent of the total tax due, whichever is greater, shall be assessed against the taxpayer if the report is not filed by the due date in accordance with subrule </w:t>
      </w:r>
      <w:hyperlink r:id="rId41">
        <w:r>
          <w:rPr>
            <w:rStyle w:val="Hyperlink"/>
            <w:rFonts w:ascii="Times New Roman" w:hAnsi="Times New Roman"/>
            <w:b w:val="false"/>
            <w:i w:val="false"/>
            <w:color w:val="000000"/>
            <w:sz w:val="22"/>
          </w:rPr>
          <w:t>505.4(6)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quarterly report shows no taxes owed or a refund due, the penalty for filing a report after the due date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505.4(10)</w:t>
      </w: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 xml:space="preserve">Interest at the rate established pursuant to Iowa Code chapter </w:t>
      </w:r>
      <w:hyperlink r:id="rId42">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shall be assessed against the taxpayer for each month the tax remains unpaid. The interest shall accrue from the date the return was required to be filed. Interest shall not apply to any penalty. Each fraction of a month shall be considered a full month for the computation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remittance. </w:t>
      </w:r>
      <w:r>
        <w:rPr>
          <w:rFonts w:ascii="Times New Roman" w:hAnsi="Times New Roman"/>
          <w:b w:val="false"/>
          <w:i w:val="false"/>
          <w:color w:val="000000"/>
          <w:sz w:val="22"/>
        </w:rPr>
        <w:t>All payments shall be first applied to the interest, then to the penalty and then the balance, if any, on the amount of tax then due.</w:t>
      </w:r>
    </w:p>
    <w:p>
      <w:pPr>
        <w:spacing w:before="0" w:after="0"/>
        <w:ind w:left="120"/>
        <w:jc w:val="both"/>
      </w:pPr>
      <w:r>
        <w:rPr>
          <w:rFonts w:ascii="Times New Roman" w:hAnsi="Times New Roman"/>
          <w:b w:val="false"/>
          <w:i w:val="false"/>
          <w:color w:val="000000"/>
          <w:sz w:val="22"/>
        </w:rPr>
        <w:t>If a taxpayer remits a payment on or before the due date, but the payment is insufficient to discharge the tax liability, the entire amount of such payment shall apply to the tax. Any penalty or interest subsequently assessed shall be based on the unpaid portion of the tax.</w:t>
      </w:r>
    </w:p>
    <w:p>
      <w:pPr>
        <w:spacing w:before="0" w:after="0"/>
        <w:ind w:left="120"/>
        <w:jc w:val="both"/>
      </w:pPr>
      <w:r>
        <w:rPr>
          <w:rFonts w:ascii="Times New Roman" w:hAnsi="Times New Roman"/>
          <w:b w:val="false"/>
          <w:i w:val="false"/>
          <w:color w:val="000000"/>
          <w:sz w:val="22"/>
        </w:rPr>
        <w:t>If the department determines there is additional tax due from a taxpayer, interest and penalty shall accrue on that amount from the date the tax should have been reported and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505.4(12)</w:t>
      </w:r>
      <w:r>
        <w:rPr>
          <w:rFonts w:ascii="Times New Roman" w:hAnsi="Times New Roman"/>
          <w:b w:val="false"/>
          <w:i w:val="false"/>
          <w:color w:val="000000"/>
          <w:sz w:val="22"/>
        </w:rPr>
        <w:t> </w:t>
      </w:r>
      <w:r>
        <w:rPr>
          <w:rFonts w:ascii="Times New Roman" w:hAnsi="Times New Roman"/>
          <w:b w:val="false"/>
          <w:i/>
          <w:color w:val="000000"/>
          <w:sz w:val="22"/>
        </w:rPr>
        <w:t xml:space="preserve">Reports, records and variations. </w:t>
      </w:r>
      <w:r>
        <w:rPr>
          <w:rFonts w:ascii="Times New Roman" w:hAnsi="Times New Roman"/>
          <w:b w:val="false"/>
          <w:i w:val="false"/>
          <w:color w:val="000000"/>
          <w:sz w:val="22"/>
        </w:rPr>
        <w:t xml:space="preserve">The department shall prescribe and furnish all forms upon which reports, claims for refund, temporary permits, and license applications shall be made under Iowa Code chapter </w:t>
      </w:r>
      <w:hyperlink r:id="rId43">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division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information required in these documents is presented to the department on forms or in a manner other than on the prescribed form, the report, application or claim shall not be deemed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 that the reporting party does not have the prescribed form shall not be an acceptable reason for failure to file. The vehicle and motor carrier services bureau may be contacted to request copies of any necessary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505.4(13)</w:t>
      </w:r>
      <w:r>
        <w:rPr>
          <w:rFonts w:ascii="Times New Roman" w:hAnsi="Times New Roman"/>
          <w:b w:val="false"/>
          <w:i w:val="false"/>
          <w:color w:val="000000"/>
          <w:sz w:val="22"/>
        </w:rPr>
        <w:t> </w:t>
      </w:r>
      <w:r>
        <w:rPr>
          <w:rFonts w:ascii="Times New Roman" w:hAnsi="Times New Roman"/>
          <w:b w:val="false"/>
          <w:i/>
          <w:color w:val="000000"/>
          <w:sz w:val="22"/>
        </w:rPr>
        <w:t xml:space="preserve">Estimating gallonage or kilowatt hours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the taxpayer’s records are lacking or inadequate to support any report filed or to determine the tax liability, the department is authorized to estimate the gallonage or kilowatt hours used upon which tax is due. This estimation shall be based upon such factors as,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experience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Taxpayers in similar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Industry averages,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suppliers or customers,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Such other pertinent information as the department may possess, obtain or examine.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findings of the department as to the amount of fuel taxes due from any person shall be presumed to be the correct amount and in any litigation which may follow, the certificate of the department shall be admitted in evidence, shall be considered to be true and accurate unless shown otherwise by an objecting party and shall impose upon the other party the burden of showing any error in the department’s finding and the extent thereof, or showing that the finding was contrary to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505.4(14)</w:t>
      </w:r>
      <w:r>
        <w:rPr>
          <w:rFonts w:ascii="Times New Roman" w:hAnsi="Times New Roman"/>
          <w:b w:val="false"/>
          <w:i w:val="false"/>
          <w:color w:val="000000"/>
          <w:sz w:val="22"/>
        </w:rPr>
        <w:t> </w:t>
      </w:r>
      <w:r>
        <w:rPr>
          <w:rFonts w:ascii="Times New Roman" w:hAnsi="Times New Roman"/>
          <w:b w:val="false"/>
          <w:i/>
          <w:color w:val="000000"/>
          <w:sz w:val="22"/>
        </w:rPr>
        <w:t xml:space="preserve">Information confidential. </w:t>
      </w:r>
      <w:r>
        <w:rPr>
          <w:rFonts w:ascii="Times New Roman" w:hAnsi="Times New Roman"/>
          <w:b w:val="false"/>
          <w:i w:val="false"/>
          <w:color w:val="000000"/>
          <w:sz w:val="22"/>
        </w:rPr>
        <w:t xml:space="preserve">Iowa Code section </w:t>
      </w:r>
      <w:hyperlink r:id="rId44">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which makes all information obtained from reports or records required to be filed or kept under Iowa Code chapter </w:t>
      </w:r>
      <w:hyperlink r:id="rId45">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confidential, applies generally to the director, auditors, agents, officers, or other employees of the department. However, any person having acquired information disclosed in a taxpayer’s filed report shall be bound by the same rules of confidentiality. The information may only be divulged to the appropriate public officials enumerated in Iowa Code section </w:t>
      </w:r>
      <w:hyperlink r:id="rId46">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505.4(15)</w:t>
      </w:r>
      <w:r>
        <w:rPr>
          <w:rFonts w:ascii="Times New Roman" w:hAnsi="Times New Roman"/>
          <w:b w:val="false"/>
          <w:i w:val="false"/>
          <w:color w:val="000000"/>
          <w:sz w:val="22"/>
        </w:rPr>
        <w:t> </w:t>
      </w:r>
      <w:r>
        <w:rPr>
          <w:rFonts w:ascii="Times New Roman" w:hAnsi="Times New Roman"/>
          <w:b w:val="false"/>
          <w:i/>
          <w:color w:val="000000"/>
          <w:sz w:val="22"/>
        </w:rPr>
        <w:t xml:space="preserve">Taxes erroneously or illegally collected. </w:t>
      </w:r>
      <w:r>
        <w:rPr>
          <w:rFonts w:ascii="Times New Roman" w:hAnsi="Times New Roman"/>
          <w:b w:val="false"/>
          <w:i w:val="false"/>
          <w:color w:val="000000"/>
          <w:sz w:val="22"/>
        </w:rPr>
        <w:t>Any licensee shall be entitled to a refund of taxes, penalties, or interest erroneously or illegally collected by the department or as a result of a computation error. The claim must be filed within a year of payment and accompanied by evidence to support the claim. If the request for refund includes the return of penalties or interest, the interest or penalties shall be refunded in the same proportion as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505.4(16)</w:t>
      </w:r>
      <w:r>
        <w:rPr>
          <w:rFonts w:ascii="Times New Roman" w:hAnsi="Times New Roman"/>
          <w:b w:val="false"/>
          <w:i w:val="false"/>
          <w:color w:val="000000"/>
          <w:sz w:val="22"/>
        </w:rPr>
        <w:t> </w:t>
      </w:r>
      <w:r>
        <w:rPr>
          <w:rFonts w:ascii="Times New Roman" w:hAnsi="Times New Roman"/>
          <w:b w:val="false"/>
          <w:i/>
          <w:color w:val="000000"/>
          <w:sz w:val="22"/>
        </w:rPr>
        <w:t xml:space="preserve">Supplemental billings. </w:t>
      </w:r>
      <w:r>
        <w:rPr>
          <w:rFonts w:ascii="Times New Roman" w:hAnsi="Times New Roman"/>
          <w:b w:val="false"/>
          <w:i w:val="false"/>
          <w:color w:val="000000"/>
          <w:sz w:val="22"/>
        </w:rPr>
        <w:t>The amount due is payable upon being billed by the vehicle and motor carrier services bureau. Billings shall be generated by the department for the collection of additional amounts due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Penalties are assessed under the provisions of subrule </w:t>
      </w:r>
      <w:hyperlink r:id="rId47">
        <w:r>
          <w:rPr>
            <w:rStyle w:val="Hyperlink"/>
            <w:rFonts w:ascii="Times New Roman" w:hAnsi="Times New Roman"/>
            <w:b w:val="false"/>
            <w:i w:val="false"/>
            <w:color w:val="000000"/>
            <w:sz w:val="22"/>
          </w:rPr>
          <w:t>505.4(8)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is assessed under the provisions of subrule </w:t>
      </w:r>
      <w:hyperlink r:id="rId48">
        <w:r>
          <w:rPr>
            <w:rStyle w:val="Hyperlink"/>
            <w:rFonts w:ascii="Times New Roman" w:hAnsi="Times New Roman"/>
            <w:b w:val="false"/>
            <w:i w:val="false"/>
            <w:color w:val="000000"/>
            <w:sz w:val="22"/>
          </w:rPr>
          <w:t>505.4(10)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error in the computation on the front of the report results in additional tax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failure to remit payment for part or all of the tax due with the filed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is remitted and subsequently not honored.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Taxes, penalties or interest are assessed as the result of an audit.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452A.61</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5178C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761—505.5</w:t>
      </w:r>
      <w:r>
        <w:rPr>
          <w:rFonts w:ascii="Times New Roman" w:hAnsi="Times New Roman"/>
          <w:b/>
          <w:i w:val="false"/>
          <w:color w:val="000000"/>
          <w:sz w:val="22"/>
        </w:rPr>
        <w:t xml:space="preserve">(452A) </w:t>
      </w:r>
      <w:r>
        <w:rPr>
          <w:rFonts w:ascii="Times New Roman" w:hAnsi="Times New Roman"/>
          <w:b/>
          <w:i w:val="false"/>
          <w:color w:val="000000"/>
          <w:sz w:val="22"/>
        </w:rPr>
        <w:t xml:space="preserve">Audits—required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505.5(1)</w:t>
      </w:r>
      <w:r>
        <w:rPr>
          <w:rFonts w:ascii="Times New Roman" w:hAnsi="Times New Roman"/>
          <w:b w:val="false"/>
          <w:i w:val="false"/>
          <w:color w:val="000000"/>
          <w:sz w:val="22"/>
        </w:rPr>
        <w:t> </w:t>
      </w:r>
      <w:r>
        <w:rPr>
          <w:rFonts w:ascii="Times New Roman" w:hAnsi="Times New Roman"/>
          <w:b w:val="false"/>
          <w:i/>
          <w:color w:val="000000"/>
          <w:sz w:val="22"/>
        </w:rPr>
        <w:t xml:space="preserve">Delegation to audit and examine. </w:t>
      </w:r>
      <w:r>
        <w:rPr>
          <w:rFonts w:ascii="Times New Roman" w:hAnsi="Times New Roman"/>
          <w:b w:val="false"/>
          <w:i w:val="false"/>
          <w:color w:val="000000"/>
          <w:sz w:val="22"/>
        </w:rPr>
        <w:t xml:space="preserve">Pursuant to Iowa Code sections </w:t>
      </w:r>
      <w:hyperlink r:id="rId56">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the department reserves the right to examine returns and records, perform audits and determine the correct amount of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505.5(2)</w:t>
      </w:r>
      <w:r>
        <w:rPr>
          <w:rFonts w:ascii="Times New Roman" w:hAnsi="Times New Roman"/>
          <w:b w:val="false"/>
          <w:i w:val="false"/>
          <w:color w:val="000000"/>
          <w:sz w:val="22"/>
        </w:rPr>
        <w:t> </w:t>
      </w:r>
      <w:r>
        <w:rPr>
          <w:rFonts w:ascii="Times New Roman" w:hAnsi="Times New Roman"/>
          <w:b w:val="false"/>
          <w:i/>
          <w:color w:val="000000"/>
          <w:sz w:val="22"/>
        </w:rPr>
        <w:t xml:space="preserve">Statute of limitations. </w:t>
      </w:r>
      <w:r>
        <w:rPr>
          <w:rFonts w:ascii="Times New Roman" w:hAnsi="Times New Roman"/>
          <w:b w:val="false"/>
          <w:i w:val="false"/>
          <w:color w:val="000000"/>
          <w:sz w:val="22"/>
        </w:rPr>
        <w:t>Within three years after a return is filed, the department may audit the return to determine the accuracy of taxes paid. There is no time limitation on collection activities for any tax, penalty or interest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505.5(3)</w:t>
      </w:r>
      <w:r>
        <w:rPr>
          <w:rFonts w:ascii="Times New Roman" w:hAnsi="Times New Roman"/>
          <w:b w:val="false"/>
          <w:i w:val="false"/>
          <w:color w:val="000000"/>
          <w:sz w:val="22"/>
        </w:rPr>
        <w:t> </w:t>
      </w:r>
      <w:r>
        <w:rPr>
          <w:rFonts w:ascii="Times New Roman" w:hAnsi="Times New Roman"/>
          <w:b w:val="false"/>
          <w:i/>
          <w:color w:val="000000"/>
          <w:sz w:val="22"/>
        </w:rPr>
        <w:t xml:space="preserve">Outstanding tax, penalty, or interest for canceled and inactive licenses. </w:t>
      </w:r>
      <w:r>
        <w:rPr>
          <w:rFonts w:ascii="Times New Roman" w:hAnsi="Times New Roman"/>
          <w:b w:val="false"/>
          <w:i w:val="false"/>
          <w:color w:val="000000"/>
          <w:sz w:val="22"/>
        </w:rPr>
        <w:t>Any outstanding taxes, penalties, or interest must be paid before reapplying for a fuel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505.5(4)</w:t>
      </w:r>
      <w:r>
        <w:rPr>
          <w:rFonts w:ascii="Times New Roman" w:hAnsi="Times New Roman"/>
          <w:b w:val="false"/>
          <w:i w:val="false"/>
          <w:color w:val="000000"/>
          <w:sz w:val="22"/>
        </w:rPr>
        <w:t> </w:t>
      </w:r>
      <w:r>
        <w:rPr>
          <w:rFonts w:ascii="Times New Roman" w:hAnsi="Times New Roman"/>
          <w:b w:val="false"/>
          <w:i/>
          <w:color w:val="000000"/>
          <w:sz w:val="22"/>
        </w:rPr>
        <w:t xml:space="preserve">Audit period—records—costs. </w:t>
      </w:r>
      <w:r>
        <w:rPr>
          <w:rFonts w:ascii="Times New Roman" w:hAnsi="Times New Roman"/>
          <w:b w:val="false"/>
          <w:i w:val="false"/>
          <w:color w:val="000000"/>
          <w:sz w:val="22"/>
        </w:rPr>
        <w:t>The statute of limitations on the determination of any additional tax liability shall be three years after a return is filed; therefore, all records must be kept for four years after a return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 of verifying the correctness of a return filed or for estimating the tax liability of any taxpayer,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the right and duty to examine or cause to be examined the books, papers, records, memoranda, or documents of a taxpayer which relate in any manner to fuel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the authority to require, at a hearing, the attendance of the taxpayer and other witness and the production of books, papers, records, memoranda or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an audit shall be at the taxpayer’s expense when the records are maintained outside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505.5(5)</w:t>
      </w:r>
      <w:r>
        <w:rPr>
          <w:rFonts w:ascii="Times New Roman" w:hAnsi="Times New Roman"/>
          <w:b w:val="false"/>
          <w:i w:val="false"/>
          <w:color w:val="000000"/>
          <w:sz w:val="22"/>
        </w:rPr>
        <w:t> </w:t>
      </w:r>
      <w:r>
        <w:rPr>
          <w:rFonts w:ascii="Times New Roman" w:hAnsi="Times New Roman"/>
          <w:b w:val="false"/>
          <w:i/>
          <w:color w:val="000000"/>
          <w:sz w:val="22"/>
        </w:rPr>
        <w:t xml:space="preserve">Taxpayers required to keep records. </w:t>
      </w:r>
      <w:r>
        <w:rPr>
          <w:rFonts w:ascii="Times New Roman" w:hAnsi="Times New Roman"/>
          <w:b w:val="false"/>
          <w:i w:val="false"/>
          <w:color w:val="000000"/>
          <w:sz w:val="22"/>
        </w:rPr>
        <w:t xml:space="preserve">The records required to be kept by this rule shall be preserved for a period of four years after a return is filed unless otherwise stated and shall be open for examination by the department during this period of time. A licensee shall retain invoices or other proofs of purchase which meet the requirements of subrule </w:t>
      </w:r>
      <w:hyperlink r:id="rId59">
        <w:r>
          <w:rPr>
            <w:rStyle w:val="Hyperlink"/>
            <w:rFonts w:ascii="Times New Roman" w:hAnsi="Times New Roman"/>
            <w:b w:val="false"/>
            <w:i w:val="false"/>
            <w:color w:val="000000"/>
            <w:sz w:val="22"/>
          </w:rPr>
          <w:t>505.5(6)</w:t>
        </w:r>
      </w:hyperlink>
      <w:r>
        <w:rPr>
          <w:rFonts w:ascii="Times New Roman" w:hAnsi="Times New Roman"/>
          <w:b w:val="false"/>
          <w:i w:val="false"/>
          <w:color w:val="000000"/>
          <w:sz w:val="22"/>
        </w:rPr>
        <w:t>. The fact that the tax has been paid shall appear on the proof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505.5(6)</w:t>
      </w:r>
      <w:r>
        <w:rPr>
          <w:rFonts w:ascii="Times New Roman" w:hAnsi="Times New Roman"/>
          <w:b w:val="false"/>
          <w:i w:val="false"/>
          <w:color w:val="000000"/>
          <w:sz w:val="22"/>
        </w:rPr>
        <w:t> </w:t>
      </w:r>
      <w:r>
        <w:rPr>
          <w:rFonts w:ascii="Times New Roman" w:hAnsi="Times New Roman"/>
          <w:b w:val="false"/>
          <w:i/>
          <w:color w:val="000000"/>
          <w:sz w:val="22"/>
        </w:rPr>
        <w:t xml:space="preserve">Records to be kept and preserved.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person required to file a quarterly report under Iowa Code section </w:t>
      </w:r>
      <w:hyperlink r:id="rId60">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shall keep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 purchase invoices or documentation of fuel withdrawn from bulk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Trip sheets or other documentation of mileage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an invoice is required to be kept or prepared by Iowa Code chapter </w:t>
      </w:r>
      <w:hyperlink r:id="rId61">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or these rules, the following shall be the minimal requirements which must be complied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must include the seller’s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must include the purchaser’s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 must contain a vehicle serial number, fleet unit number or vehicle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It must include the calendar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It must indicate the type of fuel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It must indicate the quantity of fuel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It must indicate the total purchase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the purchase is special fuel, the fact that the fuel tax is included in the purchase price must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an invoice is required to be kept under Iowa Code chapter </w:t>
      </w:r>
      <w:hyperlink r:id="rId62">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or these rules, the original or duplicate copy must be kept. If the original or duplicate copy is lost or destroyed, a copy, certified by the seller as being a true copy of the original, shall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any invoice, which is required to be kept by the purchaser, must be kept by the seller for the same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Credit card invoices are acceptable if they meet all the requirements listed in paragraphs </w:t>
      </w:r>
      <w:hyperlink r:id="rId63">
        <w:r>
          <w:rPr>
            <w:rStyle w:val="Hyperlink"/>
            <w:rFonts w:ascii="Times New Roman" w:hAnsi="Times New Roman"/>
            <w:b w:val="false"/>
            <w:i w:val="false"/>
            <w:color w:val="000000"/>
            <w:sz w:val="22"/>
          </w:rPr>
          <w:t>505.5(6)</w:t>
        </w:r>
      </w:hyperlink>
      <w:r>
        <w:rPr>
          <w:rFonts w:ascii="Times New Roman" w:hAnsi="Times New Roman"/>
          <w:b w:val="false"/>
          <w:i/>
          <w:color w:val="000000"/>
          <w:sz w:val="22"/>
        </w:rPr>
        <w:t>“b,” “c,”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505.5(7)</w:t>
      </w:r>
      <w:r>
        <w:rPr>
          <w:rFonts w:ascii="Times New Roman" w:hAnsi="Times New Roman"/>
          <w:b w:val="false"/>
          <w:i w:val="false"/>
          <w:color w:val="000000"/>
          <w:sz w:val="22"/>
        </w:rPr>
        <w:t> </w:t>
      </w:r>
      <w:r>
        <w:rPr>
          <w:rFonts w:ascii="Times New Roman" w:hAnsi="Times New Roman"/>
          <w:b w:val="false"/>
          <w:i/>
          <w:color w:val="000000"/>
          <w:sz w:val="22"/>
        </w:rPr>
        <w:t xml:space="preserve">New licensees. </w:t>
      </w:r>
      <w:r>
        <w:rPr>
          <w:rFonts w:ascii="Times New Roman" w:hAnsi="Times New Roman"/>
          <w:b w:val="false"/>
          <w:i w:val="false"/>
          <w:color w:val="000000"/>
          <w:sz w:val="22"/>
        </w:rPr>
        <w:t>When a person is issued a new license, the department may, within one year of issuance of the license, audit the records of the new licensee for a period going back two years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505.5(8)</w:t>
      </w:r>
      <w:r>
        <w:rPr>
          <w:rFonts w:ascii="Times New Roman" w:hAnsi="Times New Roman"/>
          <w:b w:val="false"/>
          <w:i w:val="false"/>
          <w:color w:val="000000"/>
          <w:sz w:val="22"/>
        </w:rPr>
        <w:t> </w:t>
      </w:r>
      <w:r>
        <w:rPr>
          <w:rFonts w:ascii="Times New Roman" w:hAnsi="Times New Roman"/>
          <w:b w:val="false"/>
          <w:i/>
          <w:color w:val="000000"/>
          <w:sz w:val="22"/>
        </w:rPr>
        <w:t xml:space="preserve">Nonlicense and nonpermit holders. </w:t>
      </w:r>
      <w:r>
        <w:rPr>
          <w:rFonts w:ascii="Times New Roman" w:hAnsi="Times New Roman"/>
          <w:b w:val="false"/>
          <w:i w:val="false"/>
          <w:color w:val="000000"/>
          <w:sz w:val="22"/>
        </w:rPr>
        <w:t xml:space="preserve">All persons who bring into the state a qualified motor vehicle, upon which the Iowa tax on said fuel has not been paid, are operating within the purview of these rules as stated in Iowa Code section </w:t>
      </w:r>
      <w:hyperlink r:id="rId64">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They are therefore subject to audit and must keep the same records required of a fuel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505.5(9)</w:t>
      </w:r>
      <w:r>
        <w:rPr>
          <w:rFonts w:ascii="Times New Roman" w:hAnsi="Times New Roman"/>
          <w:b w:val="false"/>
          <w:i w:val="false"/>
          <w:color w:val="000000"/>
          <w:sz w:val="22"/>
        </w:rPr>
        <w:t> </w:t>
      </w:r>
      <w:r>
        <w:rPr>
          <w:rFonts w:ascii="Times New Roman" w:hAnsi="Times New Roman"/>
          <w:b w:val="false"/>
          <w:i/>
          <w:color w:val="000000"/>
          <w:sz w:val="22"/>
        </w:rPr>
        <w:t xml:space="preserve">Interstate—intrastate operators—motor vehicle special fuel holding tanks. </w:t>
      </w:r>
      <w:r>
        <w:rPr>
          <w:rFonts w:ascii="Times New Roman" w:hAnsi="Times New Roman"/>
          <w:b w:val="false"/>
          <w:i w:val="false"/>
          <w:color w:val="000000"/>
          <w:sz w:val="22"/>
        </w:rPr>
        <w:t>If a person operates one or more qualified motor vehicles under a fuel license and also operates one or more qualified motor vehicles which are not operated under the fuel license, record keeping regarding the fuel consumed from the special holding tank may be performed in either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interstate vehicles shall be given an invoice that meets the standards set forth in Iowa Code section </w:t>
      </w:r>
      <w:hyperlink r:id="rId65">
        <w:r>
          <w:rPr>
            <w:rStyle w:val="Hyperlink"/>
            <w:rFonts w:ascii="Times New Roman" w:hAnsi="Times New Roman"/>
            <w:b w:val="false"/>
            <w:i w:val="false"/>
            <w:color w:val="000000"/>
            <w:sz w:val="22"/>
          </w:rPr>
          <w:t>452A.17, subsection 3</w:t>
        </w:r>
      </w:hyperlink>
      <w:r>
        <w:rPr>
          <w:rFonts w:ascii="Times New Roman" w:hAnsi="Times New Roman"/>
          <w:b w:val="false"/>
          <w:i w:val="false"/>
          <w:color w:val="000000"/>
          <w:sz w:val="22"/>
        </w:rPr>
        <w:t>, for each tank fill, and the vehicle operator must then log the mileage;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report total miles driven and total fuel used from the bulk tank, including both interstate and intrastate vehicles.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6">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761—505.6</w:t>
      </w:r>
      <w:r>
        <w:rPr>
          <w:rFonts w:ascii="Times New Roman" w:hAnsi="Times New Roman"/>
          <w:b/>
          <w:i w:val="false"/>
          <w:color w:val="000000"/>
          <w:sz w:val="22"/>
        </w:rPr>
        <w:t xml:space="preserve">(452A)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505.6(1)</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hearings. </w:t>
      </w:r>
      <w:r>
        <w:rPr>
          <w:rFonts w:ascii="Times New Roman" w:hAnsi="Times New Roman"/>
          <w:b w:val="false"/>
          <w:i w:val="false"/>
          <w:color w:val="000000"/>
          <w:sz w:val="22"/>
        </w:rPr>
        <w:t xml:space="preserve">Hearings are conducted in accordance with Iowa Code section </w:t>
      </w:r>
      <w:hyperlink r:id="rId71">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505.6(2)</w:t>
      </w:r>
      <w:r>
        <w:rPr>
          <w:rFonts w:ascii="Times New Roman" w:hAnsi="Times New Roman"/>
          <w:b w:val="false"/>
          <w:i w:val="false"/>
          <w:color w:val="000000"/>
          <w:sz w:val="22"/>
        </w:rPr>
        <w:t> </w:t>
      </w:r>
      <w:r>
        <w:rPr>
          <w:rFonts w:ascii="Times New Roman" w:hAnsi="Times New Roman"/>
          <w:b w:val="false"/>
          <w:i/>
          <w:color w:val="000000"/>
          <w:sz w:val="22"/>
        </w:rPr>
        <w:t xml:space="preserve">Circumstances for holding 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is reasonable cause to believe that there is an evasion of fuel taxes, the department may cause a hearing to be held to determine the amount of fuel taxes due, if any. The person who is suspected of evading fuel taxes shall be sent at least ten days’ notice of the hearing. The provisions of Iowa Code section </w:t>
      </w:r>
      <w:hyperlink r:id="rId72">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 xml:space="preserve"> and subrule </w:t>
      </w:r>
      <w:hyperlink r:id="rId73">
        <w:r>
          <w:rPr>
            <w:rStyle w:val="Hyperlink"/>
            <w:rFonts w:ascii="Times New Roman" w:hAnsi="Times New Roman"/>
            <w:b w:val="false"/>
            <w:i w:val="false"/>
            <w:color w:val="000000"/>
            <w:sz w:val="22"/>
          </w:rPr>
          <w:t>505.4(13)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licensee disputes the findings of an investigation or audit by the department, the licensee may request a hearing to present further evidence, information or records to support the claim. The written request for hearing shall be directed to the attention of the director of the vehicle and motor carrier services bureau within 30 days of the date of notice of audit results issued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5178C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4/21/80, Notice 3/5/80—published 5/14/80, effective 6/18/80]</w:t>
      </w:r>
    </w:p>
    <w:p>
      <w:pPr>
        <w:spacing w:before="0" w:after="0"/>
        <w:ind w:left="120"/>
        <w:jc w:val="center"/>
      </w:pPr>
      <w:r>
        <w:rPr>
          <w:rFonts w:ascii="Times New Roman" w:hAnsi="Times New Roman"/>
          <w:b w:val="false"/>
          <w:i w:val="false"/>
          <w:color w:val="000000"/>
          <w:sz w:val="21"/>
        </w:rPr>
        <w:t>[Filed 1/23/81, Notices 11/12/80, 12/24/80—published 2/18/81, effective 3/25/81]</w:t>
      </w:r>
    </w:p>
    <w:p>
      <w:pPr>
        <w:spacing w:before="0" w:after="0"/>
        <w:ind w:left="120"/>
        <w:jc w:val="center"/>
      </w:pPr>
      <w:r>
        <w:rPr>
          <w:rFonts w:ascii="Times New Roman" w:hAnsi="Times New Roman"/>
          <w:b w:val="false"/>
          <w:i w:val="false"/>
          <w:color w:val="000000"/>
          <w:sz w:val="21"/>
        </w:rPr>
        <w:t>[Filed 12/2/81, Notice 9/30/81—published 12/23/81, effective 1/27/82]</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emergency 4/24/84—published 5/23/84, effective 4/24/84]</w:t>
      </w:r>
    </w:p>
    <w:p>
      <w:pPr>
        <w:spacing w:before="0" w:after="0"/>
        <w:ind w:left="120"/>
        <w:jc w:val="center"/>
      </w:pPr>
      <w:r>
        <w:rPr>
          <w:rFonts w:ascii="Times New Roman" w:hAnsi="Times New Roman"/>
          <w:b w:val="false"/>
          <w:i w:val="false"/>
          <w:color w:val="000000"/>
          <w:sz w:val="21"/>
        </w:rPr>
        <w:t>[Filed 7/6/84, Notice 5/23/84—published 8/1/84, effective 9/5/84]</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4/8/93, Notice 3/3/93—published 4/28/93, effective 6/2/93]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11/7/02, Notice 10/2/02—published 11/27/02, effective 1/1/03]</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5178C</w:t>
      </w:r>
      <w:r>
        <w:rPr>
          <w:rFonts w:ascii="Times New Roman" w:hAnsi="Times New Roman"/>
          <w:b w:val="false"/>
          <w:i w:val="false"/>
          <w:color w:val="000000"/>
          <w:sz w:val="21"/>
        </w:rPr>
        <w:t xml:space="preserve"> (Notice ARC 5080C, IAB 7/15/20)</w:t>
      </w:r>
      <w:r>
        <w:rPr>
          <w:rFonts w:ascii="Times New Roman" w:hAnsi="Times New Roman"/>
          <w:b w:val="false"/>
          <w:i w:val="false"/>
          <w:color w:val="000000"/>
          <w:sz w:val="21"/>
        </w:rPr>
        <w:t>, IAB 9/9/20, effective 10/14/20]</w:t>
      </w:r>
    </w:p>
    <w:p>
      <w:pPr>
        <w:pBdr>
          <w:bottom w:space="2"/>
        </w:pBdr>
        <w:spacing w:before="0" w:after="0"/>
        <w:ind w:left="120"/>
        <w:jc w:val="both"/>
      </w:pPr>
      <w:r>
        <w:rPr>
          <w:rFonts w:ascii="Times New Roman" w:hAnsi="Times New Roman"/>
          <w:b w:val="false"/>
          <w:i w:val="false"/>
          <w:color w:val="000000"/>
          <w:sz w:val="22"/>
        </w:rPr>
        <w:t>Effective date of 505.2, 505.3(2)</w:t>
      </w:r>
      <w:r>
        <w:rPr>
          <w:rFonts w:ascii="Times New Roman" w:hAnsi="Times New Roman"/>
          <w:b w:val="false"/>
          <w:i/>
          <w:color w:val="000000"/>
          <w:sz w:val="22"/>
        </w:rPr>
        <w:t>“a,”</w:t>
      </w:r>
      <w:r>
        <w:rPr>
          <w:rFonts w:ascii="Times New Roman" w:hAnsi="Times New Roman"/>
          <w:b w:val="false"/>
          <w:i w:val="false"/>
          <w:color w:val="000000"/>
          <w:sz w:val="22"/>
        </w:rPr>
        <w:t xml:space="preserve"> 505.3(4)</w:t>
      </w:r>
      <w:r>
        <w:rPr>
          <w:rFonts w:ascii="Times New Roman" w:hAnsi="Times New Roman"/>
          <w:b w:val="false"/>
          <w:i/>
          <w:color w:val="000000"/>
          <w:sz w:val="22"/>
        </w:rPr>
        <w:t>“b,”</w:t>
      </w:r>
      <w:r>
        <w:rPr>
          <w:rFonts w:ascii="Times New Roman" w:hAnsi="Times New Roman"/>
          <w:b w:val="false"/>
          <w:i w:val="false"/>
          <w:color w:val="000000"/>
          <w:sz w:val="22"/>
        </w:rPr>
        <w:t xml:space="preserve"> 505.3(5)</w:t>
      </w:r>
      <w:r>
        <w:rPr>
          <w:rFonts w:ascii="Times New Roman" w:hAnsi="Times New Roman"/>
          <w:b w:val="false"/>
          <w:i/>
          <w:color w:val="000000"/>
          <w:sz w:val="22"/>
        </w:rPr>
        <w:t>“b,”</w:t>
      </w:r>
      <w:r>
        <w:rPr>
          <w:rFonts w:ascii="Times New Roman" w:hAnsi="Times New Roman"/>
          <w:b w:val="false"/>
          <w:i w:val="false"/>
          <w:color w:val="000000"/>
          <w:sz w:val="22"/>
        </w:rPr>
        <w:t xml:space="preserve"> 505.3(6)</w:t>
      </w:r>
      <w:r>
        <w:rPr>
          <w:rFonts w:ascii="Times New Roman" w:hAnsi="Times New Roman"/>
          <w:b w:val="false"/>
          <w:i/>
          <w:color w:val="000000"/>
          <w:sz w:val="22"/>
        </w:rPr>
        <w:t xml:space="preserve">“c,” </w:t>
      </w:r>
      <w:r>
        <w:rPr>
          <w:rFonts w:ascii="Times New Roman" w:hAnsi="Times New Roman"/>
          <w:b w:val="false"/>
          <w:i w:val="false"/>
          <w:color w:val="000000"/>
          <w:sz w:val="22"/>
        </w:rPr>
        <w:t>505.3(7)</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505.4(12)</w:t>
      </w:r>
      <w:r>
        <w:rPr>
          <w:rFonts w:ascii="Times New Roman" w:hAnsi="Times New Roman"/>
          <w:b w:val="false"/>
          <w:i/>
          <w:color w:val="000000"/>
          <w:sz w:val="22"/>
        </w:rPr>
        <w:t>“b,”</w:t>
      </w:r>
      <w:r>
        <w:rPr>
          <w:rFonts w:ascii="Times New Roman" w:hAnsi="Times New Roman"/>
          <w:b w:val="false"/>
          <w:i w:val="false"/>
          <w:color w:val="000000"/>
          <w:sz w:val="22"/>
        </w:rPr>
        <w:t xml:space="preserve"> 505.6(2)</w:t>
      </w:r>
      <w:r>
        <w:rPr>
          <w:rFonts w:ascii="Times New Roman" w:hAnsi="Times New Roman"/>
          <w:b w:val="false"/>
          <w:i/>
          <w:color w:val="000000"/>
          <w:sz w:val="22"/>
        </w:rPr>
        <w:t>“b,”</w:t>
      </w:r>
      <w:r>
        <w:rPr>
          <w:rFonts w:ascii="Times New Roman" w:hAnsi="Times New Roman"/>
          <w:b w:val="false"/>
          <w:i w:val="false"/>
          <w:color w:val="000000"/>
          <w:sz w:val="22"/>
        </w:rPr>
        <w:t xml:space="preserve"> June 2, 1993, delayed 70 days by the Administrative Rules Review Committee at its meeting held May 12, 1993; delay lifted by this Committee June 8, 1993, effective June 9,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2A.40.pdf" Type="http://schemas.openxmlformats.org/officeDocument/2006/relationships/hyperlink" Id="rId5"/>
    <Relationship TargetMode="External" Target="https://www.legis.iowa.gov/docs/ico/chapter/452A.2.pdf" Type="http://schemas.openxmlformats.org/officeDocument/2006/relationships/hyperlink" Id="rId6"/>
    <Relationship TargetMode="External" Target="https://www.legis.iowa.gov/docs/ico/chapter/452A.53.pdf" Type="http://schemas.openxmlformats.org/officeDocument/2006/relationships/hyperlink" Id="rId7"/>
    <Relationship TargetMode="External" Target="https://www.legis.iowa.gov/docs/ico/chapter/452A.53.pdf" Type="http://schemas.openxmlformats.org/officeDocument/2006/relationships/hyperlink" Id="rId8"/>
    <Relationship TargetMode="External" Target="https://www.legis.iowa.gov/docs/ico/chapter/452A.2.pdf" Type="http://schemas.openxmlformats.org/officeDocument/2006/relationships/hyperlink" Id="rId9"/>
    <Relationship TargetMode="External" Target="https://www.legis.iowa.gov/docs/ico/chapter/452A.57.pdf" Type="http://schemas.openxmlformats.org/officeDocument/2006/relationships/hyperlink" Id="rId10"/>
    <Relationship TargetMode="External" Target="https://www.legis.iowa.gov/docs/ico/chapter/452A.2.pdf" Type="http://schemas.openxmlformats.org/officeDocument/2006/relationships/hyperlink" Id="rId11"/>
    <Relationship TargetMode="External" Target="https://www.legis.iowa.gov/docs/ico/chapter/452A.57.pdf" Type="http://schemas.openxmlformats.org/officeDocument/2006/relationships/hyperlink" Id="rId12"/>
    <Relationship TargetMode="External" Target="https://www.legis.iowa.gov/docs/ico/chapter/452A.40.pdf" Type="http://schemas.openxmlformats.org/officeDocument/2006/relationships/hyperlink" Id="rId13"/>
    <Relationship TargetMode="External" Target="mailto:omcs@iowadot.us" Type="http://schemas.openxmlformats.org/officeDocument/2006/relationships/hyperlink" Id="rId14"/>
    <Relationship TargetMode="External" Target="http://www.iowadot.gov" Type="http://schemas.openxmlformats.org/officeDocument/2006/relationships/hyperlink" Id="rId15"/>
    <Relationship TargetMode="External" Target="https://www.legis.iowa.gov/docs/ico/chapter/452A.pdf" Type="http://schemas.openxmlformats.org/officeDocument/2006/relationships/hyperlink" Id="rId16"/>
    <Relationship TargetMode="External" Target="www.iftach.org" Type="http://schemas.openxmlformats.org/officeDocument/2006/relationships/hyperlink" Id="rId17"/>
    <Relationship TargetMode="External" Target="https://www.legis.iowa.gov/docs/iac/chapter/761.11.pdf" Type="http://schemas.openxmlformats.org/officeDocument/2006/relationships/hyperlink" Id="rId18"/>
    <Relationship TargetMode="External" Target="https://www.legis.iowa.gov/docs/ico/chapter/452A.51.pdf" Type="http://schemas.openxmlformats.org/officeDocument/2006/relationships/hyperlink" Id="rId19"/>
    <Relationship TargetMode="External" Target="https://www.legis.iowa.gov/docs/ico/chapter/452A.56.pdf" Type="http://schemas.openxmlformats.org/officeDocument/2006/relationships/hyperlink" Id="rId20"/>
    <Relationship TargetMode="External" Target="https://www.legis.iowa.gov/docs/ico/chapter/452A.52.pdf" Type="http://schemas.openxmlformats.org/officeDocument/2006/relationships/hyperlink" Id="rId21"/>
    <Relationship TargetMode="External" Target="https://www.legis.iowa.gov/docs/ico/chapter/452A.53.pdf" Type="http://schemas.openxmlformats.org/officeDocument/2006/relationships/hyperlink" Id="rId22"/>
    <Relationship TargetMode="External" Target="https://www.legis.iowa.gov/docs/ico/chapter/452A.53.pdf" Type="http://schemas.openxmlformats.org/officeDocument/2006/relationships/hyperlink" Id="rId23"/>
    <Relationship TargetMode="External" Target="https://www.legis.iowa.gov/docs/iac/rule/761.505.3.pdf" Type="http://schemas.openxmlformats.org/officeDocument/2006/relationships/hyperlink" Id="rId24"/>
    <Relationship TargetMode="External" Target="https://www.legis.iowa.gov/docs/ico/chapter/452A.53.pdf" Type="http://schemas.openxmlformats.org/officeDocument/2006/relationships/hyperlink" Id="rId25"/>
    <Relationship TargetMode="External" Target="https://www.legis.iowa.gov/docs/ico/chapter/452A.53.pdf" Type="http://schemas.openxmlformats.org/officeDocument/2006/relationships/hyperlink" Id="rId26"/>
    <Relationship TargetMode="External" Target="https://www.legis.iowa.gov/docs/iac/rule/761.505.3.pdf" Type="http://schemas.openxmlformats.org/officeDocument/2006/relationships/hyperlink" Id="rId27"/>
    <Relationship TargetMode="External" Target="https://www.legis.iowa.gov/docs/ico/chapter/452A.pdf" Type="http://schemas.openxmlformats.org/officeDocument/2006/relationships/hyperlink" Id="rId28"/>
    <Relationship TargetMode="External" Target="https://www.legis.iowa.gov/docs/ico/chapter/452A.68.pdf" Type="http://schemas.openxmlformats.org/officeDocument/2006/relationships/hyperlink" Id="rId29"/>
    <Relationship TargetMode="External" Target="https://www.legis.iowa.gov/docs/ico/chapter/452A.52.pdf" Type="http://schemas.openxmlformats.org/officeDocument/2006/relationships/hyperlink" Id="rId30"/>
    <Relationship TargetMode="External" Target="https://www.legis.iowa.gov/docs/ico/chapter/452A.53.pdf" Type="http://schemas.openxmlformats.org/officeDocument/2006/relationships/hyperlink" Id="rId31"/>
    <Relationship TargetMode="External" Target="https://www.legis.iowa.gov/docs/ico/chapter/452A.54.pdf" Type="http://schemas.openxmlformats.org/officeDocument/2006/relationships/hyperlink" Id="rId32"/>
    <Relationship TargetMode="External" Target="https://www.legis.iowa.gov/docs/ico/chapter/452A.58.pdf" Type="http://schemas.openxmlformats.org/officeDocument/2006/relationships/hyperlink" Id="rId33"/>
    <Relationship TargetMode="External" Target="https://www.legis.iowa.gov/docs/ico/chapter/452A.68.pdf" Type="http://schemas.openxmlformats.org/officeDocument/2006/relationships/hyperlink" Id="rId34"/>
    <Relationship TargetMode="External" Target="https://www.legis.iowa.gov/docs/ico/chapter/452A.53.pdf" Type="http://schemas.openxmlformats.org/officeDocument/2006/relationships/hyperlink" Id="rId35"/>
    <Relationship TargetMode="External" Target="https://www.legis.iowa.gov/docs/ico/chapter/452A.pdf" Type="http://schemas.openxmlformats.org/officeDocument/2006/relationships/hyperlink" Id="rId36"/>
    <Relationship TargetMode="External" Target="https://www.legis.iowa.gov/docs/ico/chapter/452A.54.pdf" Type="http://schemas.openxmlformats.org/officeDocument/2006/relationships/hyperlink" Id="rId37"/>
    <Relationship TargetMode="External" Target="https://www.legis.iowa.gov/docs/iac/rule/761.505.4.pdf" Type="http://schemas.openxmlformats.org/officeDocument/2006/relationships/hyperlink" Id="rId38"/>
    <Relationship TargetMode="External" Target="https://www.legis.iowa.gov/docs/iac/rule/761.505.4.pdf" Type="http://schemas.openxmlformats.org/officeDocument/2006/relationships/hyperlink" Id="rId39"/>
    <Relationship TargetMode="External" Target="https://www.legis.iowa.gov/docs/ico/chapter/452A.65.pdf" Type="http://schemas.openxmlformats.org/officeDocument/2006/relationships/hyperlink" Id="rId40"/>
    <Relationship TargetMode="External" Target="https://www.legis.iowa.gov/docs/iac/rule/761.505.4.pdf" Type="http://schemas.openxmlformats.org/officeDocument/2006/relationships/hyperlink" Id="rId41"/>
    <Relationship TargetMode="External" Target="https://www.legis.iowa.gov/docs/ico/chapter/421.pdf" Type="http://schemas.openxmlformats.org/officeDocument/2006/relationships/hyperlink" Id="rId42"/>
    <Relationship TargetMode="External" Target="https://www.legis.iowa.gov/docs/ico/chapter/452A.pdf" Type="http://schemas.openxmlformats.org/officeDocument/2006/relationships/hyperlink" Id="rId43"/>
    <Relationship TargetMode="External" Target="https://www.legis.iowa.gov/docs/ico/chapter/452A.63.pdf" Type="http://schemas.openxmlformats.org/officeDocument/2006/relationships/hyperlink" Id="rId44"/>
    <Relationship TargetMode="External" Target="https://www.legis.iowa.gov/docs/ico/chapter/452A.pdf" Type="http://schemas.openxmlformats.org/officeDocument/2006/relationships/hyperlink" Id="rId45"/>
    <Relationship TargetMode="External" Target="https://www.legis.iowa.gov/docs/ico/chapter/452A.63.pdf" Type="http://schemas.openxmlformats.org/officeDocument/2006/relationships/hyperlink" Id="rId46"/>
    <Relationship TargetMode="External" Target="https://www.legis.iowa.gov/docs/iac/rule/761.505.4.pdf" Type="http://schemas.openxmlformats.org/officeDocument/2006/relationships/hyperlink" Id="rId47"/>
    <Relationship TargetMode="External" Target="https://www.legis.iowa.gov/docs/iac/rule/761.505.4.pdf" Type="http://schemas.openxmlformats.org/officeDocument/2006/relationships/hyperlink" Id="rId48"/>
    <Relationship TargetMode="External" Target="https://www.legis.iowa.gov/docs/ico/chapter/452A.54.pdf" Type="http://schemas.openxmlformats.org/officeDocument/2006/relationships/hyperlink" Id="rId49"/>
    <Relationship TargetMode="External" Target="https://www.legis.iowa.gov/docs/ico/chapter/452A.55.pdf" Type="http://schemas.openxmlformats.org/officeDocument/2006/relationships/hyperlink" Id="rId50"/>
    <Relationship TargetMode="External" Target="https://www.legis.iowa.gov/docs/ico/chapter/452A.60.pdf" Type="http://schemas.openxmlformats.org/officeDocument/2006/relationships/hyperlink" Id="rId51"/>
    <Relationship TargetMode="External" Target="https://www.legis.iowa.gov/docs/ico/chapter/452A.61.pdf" Type="http://schemas.openxmlformats.org/officeDocument/2006/relationships/hyperlink" Id="rId52"/>
    <Relationship TargetMode="External" Target="https://www.legis.iowa.gov/docs/ico/chapter/452A.63.pdf" Type="http://schemas.openxmlformats.org/officeDocument/2006/relationships/hyperlink" Id="rId53"/>
    <Relationship TargetMode="External" Target="https://www.legis.iowa.gov/docs/ico/chapter/452A.64.pdf" Type="http://schemas.openxmlformats.org/officeDocument/2006/relationships/hyperlink" Id="rId54"/>
    <Relationship TargetMode="External" Target="https://www.legis.iowa.gov/docs/ico/chapter/452A.65.pdf" Type="http://schemas.openxmlformats.org/officeDocument/2006/relationships/hyperlink" Id="rId55"/>
    <Relationship TargetMode="External" Target="https://www.legis.iowa.gov/docs/ico/chapter/452A.53.pdf" Type="http://schemas.openxmlformats.org/officeDocument/2006/relationships/hyperlink" Id="rId56"/>
    <Relationship TargetMode="External" Target="https://www.legis.iowa.gov/docs/ico/chapter/452A.55.pdf" Type="http://schemas.openxmlformats.org/officeDocument/2006/relationships/hyperlink" Id="rId57"/>
    <Relationship TargetMode="External" Target="https://www.legis.iowa.gov/docs/ico/chapter/452A.62.pdf" Type="http://schemas.openxmlformats.org/officeDocument/2006/relationships/hyperlink" Id="rId58"/>
    <Relationship TargetMode="External" Target="https://www.legis.iowa.gov/docs/iac/rule/761.505.5.pdf" Type="http://schemas.openxmlformats.org/officeDocument/2006/relationships/hyperlink" Id="rId59"/>
    <Relationship TargetMode="External" Target="https://www.legis.iowa.gov/docs/ico/chapter/452A.54.pdf" Type="http://schemas.openxmlformats.org/officeDocument/2006/relationships/hyperlink" Id="rId60"/>
    <Relationship TargetMode="External" Target="https://www.legis.iowa.gov/docs/ico/chapter/452A.pdf" Type="http://schemas.openxmlformats.org/officeDocument/2006/relationships/hyperlink" Id="rId61"/>
    <Relationship TargetMode="External" Target="https://www.legis.iowa.gov/docs/ico/chapter/452A.pdf" Type="http://schemas.openxmlformats.org/officeDocument/2006/relationships/hyperlink" Id="rId62"/>
    <Relationship TargetMode="External" Target="https://www.legis.iowa.gov/docs/iac/rule/761.505.5.pdf" Type="http://schemas.openxmlformats.org/officeDocument/2006/relationships/hyperlink" Id="rId63"/>
    <Relationship TargetMode="External" Target="https://www.legis.iowa.gov/docs/ico/chapter/452A.55.pdf" Type="http://schemas.openxmlformats.org/officeDocument/2006/relationships/hyperlink" Id="rId64"/>
    <Relationship TargetMode="External" Target="https://www.legis.iowa.gov/docs/ico/chapter/452A.17.pdf" Type="http://schemas.openxmlformats.org/officeDocument/2006/relationships/hyperlink" Id="rId65"/>
    <Relationship TargetMode="External" Target="https://www.legis.iowa.gov/docs/ico/chapter/452A.53.pdf" Type="http://schemas.openxmlformats.org/officeDocument/2006/relationships/hyperlink" Id="rId66"/>
    <Relationship TargetMode="External" Target="https://www.legis.iowa.gov/docs/ico/chapter/452A.55.pdf" Type="http://schemas.openxmlformats.org/officeDocument/2006/relationships/hyperlink" Id="rId67"/>
    <Relationship TargetMode="External" Target="https://www.legis.iowa.gov/docs/ico/chapter/452A.60.pdf" Type="http://schemas.openxmlformats.org/officeDocument/2006/relationships/hyperlink" Id="rId68"/>
    <Relationship TargetMode="External" Target="https://www.legis.iowa.gov/docs/ico/chapter/452A.62.pdf" Type="http://schemas.openxmlformats.org/officeDocument/2006/relationships/hyperlink" Id="rId69"/>
    <Relationship TargetMode="External" Target="https://www.legis.iowa.gov/docs/ico/chapter/452A.69.pdf" Type="http://schemas.openxmlformats.org/officeDocument/2006/relationships/hyperlink" Id="rId70"/>
    <Relationship TargetMode="External" Target="https://www.legis.iowa.gov/docs/ico/chapter/452A.69.pdf" Type="http://schemas.openxmlformats.org/officeDocument/2006/relationships/hyperlink" Id="rId71"/>
    <Relationship TargetMode="External" Target="https://www.legis.iowa.gov/docs/ico/chapter/452A.64.pdf" Type="http://schemas.openxmlformats.org/officeDocument/2006/relationships/hyperlink" Id="rId72"/>
    <Relationship TargetMode="External" Target="https://www.legis.iowa.gov/docs/iac/rule/761.505.4.pdf" Type="http://schemas.openxmlformats.org/officeDocument/2006/relationships/hyperlink" Id="rId73"/>
    <Relationship TargetMode="External" Target="https://www.legis.iowa.gov/docs/ico/chapter/452A.64.pdf" Type="http://schemas.openxmlformats.org/officeDocument/2006/relationships/hyperlink" Id="rId74"/>
    <Relationship TargetMode="External" Target="https://www.legis.iowa.gov/docs/ico/chapter/452A.69.pdf" Type="http://schemas.openxmlformats.org/officeDocument/2006/relationships/hyperlink" Id="rId7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