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431</w:t>
      </w:r>
    </w:p>
    <w:p>
      <w:pPr>
        <w:spacing w:before="0" w:after="0"/>
        <w:ind w:left="120"/>
        <w:jc w:val="center"/>
      </w:pPr>
      <w:r>
        <w:rPr>
          <w:rFonts w:ascii="Times New Roman" w:hAnsi="Times New Roman"/>
          <w:b w:val="false"/>
          <w:i w:val="false"/>
          <w:color w:val="000000"/>
          <w:sz w:val="21"/>
        </w:rPr>
        <w:t>VEHICLE RECYCLERS</w:t>
      </w:r>
    </w:p>
    <w:p>
      <w:pPr>
        <w:spacing w:before="0" w:after="0"/>
        <w:ind w:left="120"/>
        <w:jc w:val="center"/>
      </w:pPr>
      <w:r>
        <w:rPr>
          <w:rFonts w:ascii="Times New Roman" w:hAnsi="Times New Roman"/>
          <w:b w:val="false"/>
          <w:i w:val="false"/>
          <w:color w:val="000000"/>
          <w:sz w:val="14"/>
        </w:rPr>
        <w:t>[Prior to 6/3/87, Transportation Department[820]—(07,D)Ch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761—431.1</w:t>
      </w:r>
      <w:r>
        <w:rPr>
          <w:rFonts w:ascii="Times New Roman" w:hAnsi="Times New Roman"/>
          <w:b/>
          <w:i w:val="false"/>
          <w:color w:val="000000"/>
          <w:sz w:val="22"/>
        </w:rPr>
        <w:t xml:space="preserve">(321H)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blank forms relating to this chapter may be obtained from and completed forms shall be submitted to the Motor Vehicle Division, Iowa Department of Transportation, P.O. Box 9278, Des Moines, Iowa 50306-9278. Information and forms are also available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“Principal place of business” </w:t>
      </w:r>
      <w:r>
        <w:rPr>
          <w:rFonts w:ascii="Times New Roman" w:hAnsi="Times New Roman"/>
          <w:b w:val="false"/>
          <w:i w:val="false"/>
          <w:color w:val="000000"/>
          <w:sz w:val="22"/>
        </w:rPr>
        <w:t>means a building actually occupied where the public and the department may contact the owner or operator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“Regular business hours” </w:t>
      </w:r>
      <w:r>
        <w:rPr>
          <w:rFonts w:ascii="Times New Roman" w:hAnsi="Times New Roman"/>
          <w:b w:val="false"/>
          <w:i w:val="false"/>
          <w:color w:val="000000"/>
          <w:sz w:val="22"/>
        </w:rPr>
        <w:t>means to be consistently open to the public on a weekly basis at hours reported to the motor vehicle division. Regular business hours shall include a minimum of 32 posted hours between 7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9 p.m., Monday through Friday.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321H.2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6489C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761—431.2</w:t>
      </w:r>
      <w:r>
        <w:rPr>
          <w:rFonts w:ascii="Times New Roman" w:hAnsi="Times New Roman"/>
          <w:b/>
          <w:i w:val="false"/>
          <w:color w:val="000000"/>
          <w:sz w:val="22"/>
        </w:rPr>
        <w:t xml:space="preserve">(321H) </w:t>
      </w:r>
      <w:r>
        <w:rPr>
          <w:rFonts w:ascii="Times New Roman" w:hAnsi="Times New Roman"/>
          <w:b/>
          <w:i w:val="false"/>
          <w:color w:val="000000"/>
          <w:sz w:val="22"/>
        </w:rPr>
        <w:t xml:space="preserve">Criteria for a vehicle recycler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431.2(1)</w:t>
      </w:r>
      <w:r>
        <w:rPr>
          <w:rFonts w:ascii="Times New Roman" w:hAnsi="Times New Roman"/>
          <w:b w:val="false"/>
          <w:i w:val="false"/>
          <w:color w:val="000000"/>
          <w:sz w:val="22"/>
        </w:rPr>
        <w:t> </w:t>
      </w:r>
      <w:r>
        <w:rPr>
          <w:rFonts w:ascii="Times New Roman" w:hAnsi="Times New Roman"/>
          <w:b w:val="false"/>
          <w:i/>
          <w:color w:val="000000"/>
          <w:sz w:val="22"/>
        </w:rPr>
        <w:t xml:space="preserve">General qualifications. </w:t>
      </w:r>
      <w:r>
        <w:rPr>
          <w:rFonts w:ascii="Times New Roman" w:hAnsi="Times New Roman"/>
          <w:b w:val="false"/>
          <w:i w:val="false"/>
          <w:color w:val="000000"/>
          <w:sz w:val="22"/>
        </w:rPr>
        <w:t>Every authorized vehicle recycler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regular business hours and telephone service at the principal place of business which shall include separate and adequate office space for the recycler’s business records. Telephone service must be a land line and not cellular phone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local zoning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provisions of Iowa Code chapter </w:t>
      </w:r>
      <w:hyperlink r:id="rId8">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relating to the Iowa junkyard control law,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 to the requirements of 28 CFR Section 25.56, as adopted in Iowa Code section </w:t>
      </w:r>
      <w:hyperlink r:id="rId9">
        <w:r>
          <w:rPr>
            <w:rStyle w:val="Hyperlink"/>
            <w:rFonts w:ascii="Times New Roman" w:hAnsi="Times New Roman"/>
            <w:b w:val="false"/>
            <w:i w:val="false"/>
            <w:color w:val="000000"/>
            <w:sz w:val="22"/>
          </w:rPr>
          <w:t>321H.4A(2)</w:t>
        </w:r>
      </w:hyperlink>
      <w:r>
        <w:rPr>
          <w:rFonts w:ascii="Times New Roman" w:hAnsi="Times New Roman"/>
          <w:b w:val="false"/>
          <w:i/>
          <w:color w:val="000000"/>
          <w:sz w:val="22"/>
        </w:rPr>
        <w:t>“a,”</w:t>
      </w:r>
      <w:r>
        <w:rPr>
          <w:rFonts w:ascii="Times New Roman" w:hAnsi="Times New Roman"/>
          <w:b w:val="false"/>
          <w:i w:val="false"/>
          <w:color w:val="000000"/>
          <w:sz w:val="22"/>
        </w:rPr>
        <w:t xml:space="preserve">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Obtain and maintain a registered account with the National Motor Vehicle Title Information System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 or verify reporting of, inventory to the NMVTIS.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verify the seller of a vehicle purchased by the recycler has complied with 28 CFR Section 25.56 and document such verification on a form prescribed by the department if third-party electronic records are insufficient to verify compliance with 28 CFR Section 25.56 because the vehicle has been crushed or flattened by mechanical means, as stated in Iowa Code section </w:t>
      </w:r>
      <w:hyperlink r:id="rId10">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 records of compliance, including verification forms completed under subparagraph </w:t>
      </w:r>
      <w:r>
        <w:rPr>
          <w:rFonts w:ascii="Times New Roman" w:hAnsi="Times New Roman"/>
          <w:b w:val="false"/>
          <w:i w:val="false"/>
          <w:color w:val="000000"/>
          <w:sz w:val="22"/>
        </w:rPr>
        <w:t>431.2(1)</w:t>
      </w:r>
      <w:r>
        <w:rPr>
          <w:rFonts w:ascii="Times New Roman" w:hAnsi="Times New Roman"/>
          <w:b w:val="false"/>
          <w:i/>
          <w:color w:val="000000"/>
          <w:sz w:val="22"/>
        </w:rPr>
        <w:t>“d”</w:t>
      </w:r>
      <w:r>
        <w:rPr>
          <w:rFonts w:ascii="Times New Roman" w:hAnsi="Times New Roman"/>
          <w:b w:val="false"/>
          <w:i w:val="false"/>
          <w:color w:val="000000"/>
          <w:sz w:val="22"/>
        </w:rPr>
        <w:t>(3), at the vehicle recycler’s principal place of business for at least three years after the purchase of the vehicle. Records may be stored either in hard copy or electronically. Records of compliance shall be open for inspection by any peace officer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431.2(2)</w:t>
      </w:r>
      <w:r>
        <w:rPr>
          <w:rFonts w:ascii="Times New Roman" w:hAnsi="Times New Roman"/>
          <w:b w:val="false"/>
          <w:i w:val="false"/>
          <w:color w:val="000000"/>
          <w:sz w:val="22"/>
        </w:rPr>
        <w:t> </w:t>
      </w:r>
      <w:r>
        <w:rPr>
          <w:rFonts w:ascii="Times New Roman" w:hAnsi="Times New Roman"/>
          <w:b w:val="false"/>
          <w:i/>
          <w:color w:val="000000"/>
          <w:sz w:val="22"/>
        </w:rPr>
        <w:t xml:space="preserve">Vehicle rebuilder qualifications. </w:t>
      </w:r>
      <w:r>
        <w:rPr>
          <w:rFonts w:ascii="Times New Roman" w:hAnsi="Times New Roman"/>
          <w:b w:val="false"/>
          <w:i w:val="false"/>
          <w:color w:val="000000"/>
          <w:sz w:val="22"/>
        </w:rPr>
        <w:t>For every licensed location, a vehicle rebuilder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unobstructed area inside a building for rebuilding and restoring vehicles. The inside measurement of the unobstructed area must be at least 14 feet by 24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all vehicles in the rebuilder’s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Equipment necessary to perform rebuilding and restoring of vehicles in the inventory, such as frame-straightening equipment, a hydraulic jack, alignment and calibration equipment, and tools.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431.2(3)</w:t>
      </w:r>
      <w:r>
        <w:rPr>
          <w:rFonts w:ascii="Times New Roman" w:hAnsi="Times New Roman"/>
          <w:b w:val="false"/>
          <w:i w:val="false"/>
          <w:color w:val="000000"/>
          <w:sz w:val="22"/>
        </w:rPr>
        <w:t> </w:t>
      </w:r>
      <w:r>
        <w:rPr>
          <w:rFonts w:ascii="Times New Roman" w:hAnsi="Times New Roman"/>
          <w:b w:val="false"/>
          <w:i/>
          <w:color w:val="000000"/>
          <w:sz w:val="22"/>
        </w:rPr>
        <w:t xml:space="preserve">Used vehicle parts dealer qualifications. </w:t>
      </w:r>
      <w:r>
        <w:rPr>
          <w:rFonts w:ascii="Times New Roman" w:hAnsi="Times New Roman"/>
          <w:b w:val="false"/>
          <w:i w:val="false"/>
          <w:color w:val="000000"/>
          <w:sz w:val="22"/>
        </w:rPr>
        <w:t>For every licensed location, a used vehicle parts dealer must have sufficient storage for the vehicle parts in the dealer’s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431.2(4)</w:t>
      </w:r>
      <w:r>
        <w:rPr>
          <w:rFonts w:ascii="Times New Roman" w:hAnsi="Times New Roman"/>
          <w:b w:val="false"/>
          <w:i w:val="false"/>
          <w:color w:val="000000"/>
          <w:sz w:val="22"/>
        </w:rPr>
        <w:t> </w:t>
      </w:r>
      <w:r>
        <w:rPr>
          <w:rFonts w:ascii="Times New Roman" w:hAnsi="Times New Roman"/>
          <w:b w:val="false"/>
          <w:i/>
          <w:color w:val="000000"/>
          <w:sz w:val="22"/>
        </w:rPr>
        <w:t xml:space="preserve">Vehicle salvager qualifications. </w:t>
      </w:r>
      <w:r>
        <w:rPr>
          <w:rFonts w:ascii="Times New Roman" w:hAnsi="Times New Roman"/>
          <w:b w:val="false"/>
          <w:i w:val="false"/>
          <w:color w:val="000000"/>
          <w:sz w:val="22"/>
        </w:rPr>
        <w:t>For every licensed location, a vehicle salvager must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Sufficient storage for vehicles, vehicle parts, and vehicle bodies included in the salvager’s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equipment necessary to perform dismantling, scrapping or storing of vehicles and vehicle parts in the inventory.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6489C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761—431.3</w:t>
      </w:r>
      <w:r>
        <w:rPr>
          <w:rFonts w:ascii="Times New Roman" w:hAnsi="Times New Roman"/>
          <w:b/>
          <w:i w:val="false"/>
          <w:color w:val="000000"/>
          <w:sz w:val="22"/>
        </w:rPr>
        <w:t xml:space="preserve">(321H) </w:t>
      </w:r>
      <w:r>
        <w:rPr>
          <w:rFonts w:ascii="Times New Roman" w:hAnsi="Times New Roman"/>
          <w:b/>
          <w:i w:val="false"/>
          <w:color w:val="000000"/>
          <w:sz w:val="22"/>
        </w:rPr>
        <w:t xml:space="preserve">Application. </w:t>
      </w:r>
      <w:r>
        <w:rPr>
          <w:rFonts w:ascii="Times New Roman" w:hAnsi="Times New Roman"/>
          <w:b w:val="false"/>
          <w:i w:val="false"/>
          <w:color w:val="000000"/>
          <w:sz w:val="22"/>
        </w:rPr>
        <w:t>The application for a vehicle recycler’s license shall be made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name, bona fide business address, and telephone number under which the applicant will conduct business as an authorized vehicle recycler.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val="false"/>
          <w:color w:val="000000"/>
          <w:sz w:val="22"/>
        </w:rPr>
        <w:t>If the owner of the business is an individual, the application shall include the legal name, bona fide address, and telephone number of the individual. If the owner is a partnership, the application shall include the legal name, bona fide address, and telephone number of two partners. If the owner is a corporation, the application shall include the legal name, bona fide address, and telephone number of two corporate officers. In all cases, the telephone number must be a number where the individual, partner, or corporate officer can be reached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federal employer identification number of the business. However, if the business is owned by an individual who is not required to have a federal employer identification number, the application shall include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431.3(4)</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address of any extension of the applicant’s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431.3(5)</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indicate the type of business the applicant is engaged in and include the applicant’s certification that it complies with the requirements for this type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431.3(6)</w:t>
      </w:r>
      <w:r>
        <w:rPr>
          <w:rFonts w:ascii="Times New Roman" w:hAnsi="Times New Roman"/>
          <w:b w:val="false"/>
          <w:i w:val="false"/>
          <w:color w:val="000000"/>
          <w:sz w:val="22"/>
        </w:rPr>
        <w:t> </w:t>
      </w:r>
      <w:r>
        <w:rPr>
          <w:rFonts w:ascii="Times New Roman" w:hAnsi="Times New Roman"/>
          <w:b w:val="false"/>
          <w:i w:val="false"/>
          <w:color w:val="000000"/>
          <w:sz w:val="22"/>
        </w:rPr>
        <w:t>A letter issued by the office responsible for the enforcement of zoning ordinances in the city or county where the applicant’s place of business is located must accompany the application. The letter shall state that the business complies with all applicable zoning provisions or is a legal nonconforming use. A compliance letter is also required for any extension of the applicant’s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431.3(7)</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a statement of the previous criminal history of the applicant. If the applicant is a corporation, the statement shall be required from each officer. If the applicant is a partnership, the statement shall be required from each partner.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431.3(8)</w:t>
      </w:r>
      <w:r>
        <w:rPr>
          <w:rFonts w:ascii="Times New Roman" w:hAnsi="Times New Roman"/>
          <w:b w:val="false"/>
          <w:i w:val="false"/>
          <w:color w:val="000000"/>
          <w:sz w:val="22"/>
        </w:rPr>
        <w:t> </w:t>
      </w:r>
      <w:r>
        <w:rPr>
          <w:rFonts w:ascii="Times New Roman" w:hAnsi="Times New Roman"/>
          <w:b w:val="false"/>
          <w:i w:val="false"/>
          <w:color w:val="000000"/>
          <w:sz w:val="22"/>
        </w:rPr>
        <w:t>The applicant shall include the unique NMVTIS identification number as proof of compliance with registration requirements.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321H.4A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6489C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761—431.4</w:t>
      </w:r>
      <w:r>
        <w:rPr>
          <w:rFonts w:ascii="Times New Roman" w:hAnsi="Times New Roman"/>
          <w:b/>
          <w:i w:val="false"/>
          <w:color w:val="000000"/>
          <w:sz w:val="22"/>
        </w:rPr>
        <w:t xml:space="preserve">(321H) </w:t>
      </w:r>
      <w:r>
        <w:rPr>
          <w:rFonts w:ascii="Times New Roman" w:hAnsi="Times New Roman"/>
          <w:b/>
          <w:i w:val="false"/>
          <w:color w:val="000000"/>
          <w:sz w:val="22"/>
        </w:rPr>
        <w:t xml:space="preserve">Firm name. </w:t>
      </w:r>
      <w:r>
        <w:rPr>
          <w:rFonts w:ascii="Times New Roman" w:hAnsi="Times New Roman"/>
          <w:b w:val="false"/>
          <w:i w:val="false"/>
          <w:color w:val="000000"/>
          <w:sz w:val="22"/>
        </w:rPr>
        <w:t>A recycler shall not represent or advertise the business under any name or style other than that which appears on the recycler’s license.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321H.4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761—431.5</w:t>
      </w:r>
      <w:r>
        <w:rPr>
          <w:rFonts w:ascii="Times New Roman" w:hAnsi="Times New Roman"/>
          <w:b/>
          <w:i w:val="false"/>
          <w:color w:val="000000"/>
          <w:sz w:val="22"/>
        </w:rPr>
        <w:t xml:space="preserve">(321H) </w:t>
      </w:r>
      <w:r>
        <w:rPr>
          <w:rFonts w:ascii="Times New Roman" w:hAnsi="Times New Roman"/>
          <w:b/>
          <w:i w:val="false"/>
          <w:color w:val="000000"/>
          <w:sz w:val="22"/>
        </w:rPr>
        <w:t xml:space="preserve">Denial, suspension or revocation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431.5(1)</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fails to comply with rule </w:t>
      </w:r>
      <w:hyperlink r:id="rId16">
        <w:r>
          <w:rPr>
            <w:rStyle w:val="Hyperlink"/>
            <w:rFonts w:ascii="Times New Roman" w:hAnsi="Times New Roman"/>
            <w:b w:val="false"/>
            <w:i w:val="false"/>
            <w:color w:val="000000"/>
            <w:sz w:val="22"/>
          </w:rPr>
          <w:t>761—431.2</w:t>
        </w:r>
      </w:hyperlink>
      <w:r>
        <w:rPr>
          <w:rFonts w:ascii="Times New Roman" w:hAnsi="Times New Roman"/>
          <w:b w:val="false"/>
          <w:i w:val="false"/>
          <w:color w:val="000000"/>
          <w:sz w:val="22"/>
        </w:rPr>
        <w:t xml:space="preserve">(321H) or rule </w:t>
      </w:r>
      <w:hyperlink r:id="rId17">
        <w:r>
          <w:rPr>
            <w:rStyle w:val="Hyperlink"/>
            <w:rFonts w:ascii="Times New Roman" w:hAnsi="Times New Roman"/>
            <w:b w:val="false"/>
            <w:i w:val="false"/>
            <w:color w:val="000000"/>
            <w:sz w:val="22"/>
          </w:rPr>
          <w:t>761—431.3</w:t>
        </w:r>
      </w:hyperlink>
      <w:r>
        <w:rPr>
          <w:rFonts w:ascii="Times New Roman" w:hAnsi="Times New Roman"/>
          <w:b w:val="false"/>
          <w:i w:val="false"/>
          <w:color w:val="000000"/>
          <w:sz w:val="22"/>
        </w:rPr>
        <w:t>(321H), the department shall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431.5(2)</w:t>
      </w:r>
      <w:r>
        <w:rPr>
          <w:rFonts w:ascii="Times New Roman" w:hAnsi="Times New Roman"/>
          <w:b w:val="false"/>
          <w:i w:val="false"/>
          <w:color w:val="000000"/>
          <w:sz w:val="22"/>
        </w:rPr>
        <w:t> </w:t>
      </w:r>
      <w:r>
        <w:rPr>
          <w:rFonts w:ascii="Times New Roman" w:hAnsi="Times New Roman"/>
          <w:b w:val="false"/>
          <w:i w:val="false"/>
          <w:color w:val="000000"/>
          <w:sz w:val="22"/>
        </w:rPr>
        <w:t>If a recycler fails to comply with any of the provisions of this chapter of rules, the department may suspend or revoke the recycler’s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revoke or suspend a license for any of the reasons stated in Iowa Code section </w:t>
      </w:r>
      <w:hyperlink r:id="rId18">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431.5(4)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aggrieved by a decision of the department and who is entitled to a hearing may contest the decision pursuant to </w:t>
      </w:r>
      <w:hyperlink r:id="rId19">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21">
        <w:r>
          <w:rPr>
            <w:rStyle w:val="Hyperlink"/>
            <w:rFonts w:ascii="Times New Roman" w:hAnsi="Times New Roman"/>
            <w:b w:val="false"/>
            <w:i w:val="false"/>
            <w:color w:val="000000"/>
            <w:sz w:val="22"/>
          </w:rPr>
          <w:t>321H.6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761—431.6</w:t>
      </w:r>
      <w:r>
        <w:rPr>
          <w:rFonts w:ascii="Times New Roman" w:hAnsi="Times New Roman"/>
          <w:b/>
          <w:i w:val="false"/>
          <w:color w:val="000000"/>
          <w:sz w:val="22"/>
        </w:rPr>
        <w:t xml:space="preserve">(321)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Peace officers shall have the authority to inspect vehicles or component parts of vehicles and the records and documents required to be kept by a recycler.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321.95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6/22/88—published 7/13/88, effective 7/1/88]</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1/14/93, Notice 11/25/92—published 2/3/93, effective 3/10/93]</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6489C</w:t>
      </w:r>
      <w:r>
        <w:rPr>
          <w:rFonts w:ascii="Times New Roman" w:hAnsi="Times New Roman"/>
          <w:b w:val="false"/>
          <w:i w:val="false"/>
          <w:color w:val="000000"/>
          <w:sz w:val="21"/>
        </w:rPr>
        <w:t xml:space="preserve"> (Notice ARC 6361C, IAB 6/15/22)</w:t>
      </w:r>
      <w:r>
        <w:rPr>
          <w:rFonts w:ascii="Times New Roman" w:hAnsi="Times New Roman"/>
          <w:b w:val="false"/>
          <w:i w:val="false"/>
          <w:color w:val="000000"/>
          <w:sz w:val="21"/>
        </w:rPr>
        <w:t>, IAB 9/7/22, effective 10/12/22]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s://www.legis.iowa.gov/docs/ico/chapter/321H.2.pdf" Type="http://schemas.openxmlformats.org/officeDocument/2006/relationships/hyperlink" Id="rId6"/>
    <Relationship TargetMode="External" Target="https://www.legis.iowa.gov/docs/ico/chapter/321H.4.pdf" Type="http://schemas.openxmlformats.org/officeDocument/2006/relationships/hyperlink" Id="rId7"/>
    <Relationship TargetMode="External" Target="https://www.legis.iowa.gov/docs/ico/chapter/306C.pdf" Type="http://schemas.openxmlformats.org/officeDocument/2006/relationships/hyperlink" Id="rId8"/>
    <Relationship TargetMode="External" Target="https://www.legis.iowa.gov/docs/ico/chapter/321H.4A.pdf" Type="http://schemas.openxmlformats.org/officeDocument/2006/relationships/hyperlink" Id="rId9"/>
    <Relationship TargetMode="External" Target="https://www.legis.iowa.gov/docs/ico/chapter/321H.4A.pdf" Type="http://schemas.openxmlformats.org/officeDocument/2006/relationships/hyperlink" Id="rId10"/>
    <Relationship TargetMode="External" Target="https://www.legis.iowa.gov/docs/ico/chapter/321H.4.pdf" Type="http://schemas.openxmlformats.org/officeDocument/2006/relationships/hyperlink" Id="rId11"/>
    <Relationship TargetMode="External" Target="https://www.legis.iowa.gov/docs/ico/chapter/321H.4A.pdf" Type="http://schemas.openxmlformats.org/officeDocument/2006/relationships/hyperlink" Id="rId12"/>
    <Relationship TargetMode="External" Target="https://www.legis.iowa.gov/docs/ico/chapter/321H.4.pdf" Type="http://schemas.openxmlformats.org/officeDocument/2006/relationships/hyperlink" Id="rId13"/>
    <Relationship TargetMode="External" Target="https://www.legis.iowa.gov/docs/ico/chapter/321H.4A.pdf" Type="http://schemas.openxmlformats.org/officeDocument/2006/relationships/hyperlink" Id="rId14"/>
    <Relationship TargetMode="External" Target="https://www.legis.iowa.gov/docs/ico/chapter/321H.4.pdf" Type="http://schemas.openxmlformats.org/officeDocument/2006/relationships/hyperlink" Id="rId15"/>
    <Relationship TargetMode="External" Target="https://www.legis.iowa.gov/docs/iac/rule/761.431.2.pdf" Type="http://schemas.openxmlformats.org/officeDocument/2006/relationships/hyperlink" Id="rId16"/>
    <Relationship TargetMode="External" Target="https://www.legis.iowa.gov/docs/iac/rule/761.431.3.pdf" Type="http://schemas.openxmlformats.org/officeDocument/2006/relationships/hyperlink" Id="rId17"/>
    <Relationship TargetMode="External" Target="https://www.legis.iowa.gov/docs/ico/chapter/321H.6.pdf" Type="http://schemas.openxmlformats.org/officeDocument/2006/relationships/hyperlink" Id="rId18"/>
    <Relationship TargetMode="External" Target="https://www.legis.iowa.gov/docs/iac/chapter/761.13.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321H.6.pdf" Type="http://schemas.openxmlformats.org/officeDocument/2006/relationships/hyperlink" Id="rId21"/>
    <Relationship TargetMode="External" Target="https://www.legis.iowa.gov/docs/ico/chapter/321.95.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