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430</w:t>
      </w:r>
    </w:p>
    <w:p>
      <w:pPr>
        <w:spacing w:before="0" w:after="0"/>
        <w:ind w:left="120"/>
        <w:jc w:val="center"/>
      </w:pPr>
      <w:r>
        <w:rPr>
          <w:rFonts w:ascii="Times New Roman" w:hAnsi="Times New Roman"/>
          <w:b w:val="false"/>
          <w:i w:val="false"/>
          <w:color w:val="000000"/>
          <w:sz w:val="21"/>
        </w:rPr>
        <w:t>MOTOR VEHICLE LEASING LICENSES</w:t>
      </w:r>
    </w:p>
    <w:p>
      <w:pPr>
        <w:spacing w:before="0" w:after="0"/>
        <w:ind w:left="120"/>
        <w:jc w:val="center"/>
      </w:pPr>
      <w:r>
        <w:rPr>
          <w:rFonts w:ascii="Times New Roman" w:hAnsi="Times New Roman"/>
          <w:b w:val="false"/>
          <w:i w:val="false"/>
          <w:color w:val="000000"/>
          <w:sz w:val="14"/>
        </w:rPr>
        <w:t>[Prior to 6/3/87, Transportation Department[820]—(07,D)Ch9]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761—430.1</w:t>
      </w:r>
      <w:r>
        <w:rPr>
          <w:rFonts w:ascii="Times New Roman" w:hAnsi="Times New Roman"/>
          <w:b/>
          <w:i w:val="false"/>
          <w:color w:val="000000"/>
          <w:sz w:val="22"/>
        </w:rPr>
        <w:t xml:space="preserve">(321F)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430.1(1)</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 xml:space="preserve">Information and blank forms relating to this chapter may be obtained from the Motor Vehicle Division, Iowa Department of Transportation, by mail at P.O. Box 9278, Des Moines, Iowa 50306-9278; by telephone at (515)237-3110; by email at </w:t>
      </w:r>
      <w:hyperlink r:id="rId5">
        <w:r>
          <w:rPr>
            <w:rStyle w:val="Hyperlink"/>
            <w:rFonts w:ascii="Times New Roman" w:hAnsi="Times New Roman"/>
            <w:b w:val="false"/>
            <w:i w:val="false"/>
            <w:color w:val="000000"/>
            <w:sz w:val="22"/>
            <w:u w:val="single"/>
          </w:rPr>
          <w:t>vcusto@iowadot.us</w:t>
        </w:r>
      </w:hyperlink>
      <w:r>
        <w:rPr>
          <w:rFonts w:ascii="Times New Roman" w:hAnsi="Times New Roman"/>
          <w:b w:val="false"/>
          <w:i w:val="false"/>
          <w:color w:val="000000"/>
          <w:sz w:val="22"/>
        </w:rPr>
        <w:t xml:space="preserve">; or from the department’s website at </w:t>
      </w:r>
      <w:hyperlink r:id="rId6">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Completed forms shall be submitted to the Motor Vehicle Division, Iowa Department of Transportation, by mail at P.O. Box 9278, Des Moines, Iowa 50306-9278.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430.1(2)</w:t>
      </w:r>
      <w:r>
        <w:rPr>
          <w:rFonts w:ascii="Times New Roman" w:hAnsi="Times New Roman"/>
          <w:b w:val="false"/>
          <w:i w:val="false"/>
          <w:color w:val="000000"/>
          <w:sz w:val="22"/>
        </w:rPr>
        <w:t> </w:t>
      </w:r>
      <w:r>
        <w:rPr>
          <w:rFonts w:ascii="Times New Roman" w:hAnsi="Times New Roman"/>
          <w:b w:val="false"/>
          <w:i/>
          <w:color w:val="000000"/>
          <w:sz w:val="22"/>
        </w:rPr>
        <w:t xml:space="preserve">Definition. “Engage in the business” </w:t>
      </w:r>
      <w:r>
        <w:rPr>
          <w:rFonts w:ascii="Times New Roman" w:hAnsi="Times New Roman"/>
          <w:b w:val="false"/>
          <w:i w:val="false"/>
          <w:color w:val="000000"/>
          <w:sz w:val="22"/>
        </w:rPr>
        <w:t>means leasing two or more motor vehicles that are subject to registration in a 12-month period if the lessee is a resident of this state and first takes possession of the vehicle in this state, or if the lessor’s business address is located in this state. A person shall not be considered to be engaged in the business if the business address is located outside of this state and the lessee first takes possession of the motor vehicle outside of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2755C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 xml:space="preserve">; </w:t>
      </w:r>
      <w:r>
        <w:rPr>
          <w:rFonts w:ascii="Times New Roman" w:hAnsi="Times New Roman"/>
          <w:b/>
          <w:i w:val="false"/>
          <w:color w:val="000000"/>
          <w:sz w:val="16"/>
        </w:rPr>
        <w:t>ARC 6490C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761—430.2</w:t>
      </w:r>
      <w:r>
        <w:rPr>
          <w:rFonts w:ascii="Times New Roman" w:hAnsi="Times New Roman"/>
          <w:b/>
          <w:i w:val="false"/>
          <w:color w:val="000000"/>
          <w:sz w:val="22"/>
        </w:rPr>
        <w:t xml:space="preserve">(321F) </w:t>
      </w:r>
      <w:r>
        <w:rPr>
          <w:rFonts w:ascii="Times New Roman" w:hAnsi="Times New Roman"/>
          <w:b/>
          <w:i w:val="false"/>
          <w:color w:val="000000"/>
          <w:sz w:val="22"/>
        </w:rPr>
        <w:t xml:space="preserve">Application. </w:t>
      </w:r>
      <w:r>
        <w:rPr>
          <w:rFonts w:ascii="Times New Roman" w:hAnsi="Times New Roman"/>
          <w:b w:val="false"/>
          <w:i w:val="false"/>
          <w:color w:val="000000"/>
          <w:sz w:val="22"/>
        </w:rPr>
        <w:t>Application for a motor vehicle leasing license shall be made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430.2(1)</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 the name, bona fide business address, and telephone number under which the applicant will conduct the business of leasing motor vehicles for use by others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430.2(2)</w:t>
      </w:r>
      <w:r>
        <w:rPr>
          <w:rFonts w:ascii="Times New Roman" w:hAnsi="Times New Roman"/>
          <w:b w:val="false"/>
          <w:i w:val="false"/>
          <w:color w:val="000000"/>
          <w:sz w:val="22"/>
        </w:rPr>
        <w:t> </w:t>
      </w:r>
      <w:r>
        <w:rPr>
          <w:rFonts w:ascii="Times New Roman" w:hAnsi="Times New Roman"/>
          <w:b w:val="false"/>
          <w:i w:val="false"/>
          <w:color w:val="000000"/>
          <w:sz w:val="22"/>
        </w:rPr>
        <w:t>If the owner of the business is an individual, the application shall include the legal name, bona fide address, and telephone number of the individual. If the owner is a partnership, the application shall include the legal name, bona fide address, and telephone number of two partners. If the owner is a corporation, the application shall include the legal name, bona fide address, and telephone number of two corporate officers. In all cases, the telephone number must be a number where the individual, partner, or corporate officer can be reached during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430.2(3)</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 the federal employer identification number of the business. However, if the business is owned by an individual who is not required to have a federal employer identification number, the application shall include the individual’s social security number, Iowa nonoperator’s identification number or Iowa driver’s license number.</w:t>
      </w:r>
    </w:p>
    <w:p>
      <w:pPr>
        <w:spacing w:before="210" w:after="0"/>
        <w:ind w:left="120"/>
        <w:jc w:val="both"/>
      </w:pPr>
      <w:r>
        <w:rPr>
          <w:rFonts w:ascii="Times New Roman" w:hAnsi="Times New Roman"/>
          <w:b/>
          <w:i w:val="false"/>
          <w:color w:val="000000"/>
          <w:sz w:val="22"/>
        </w:rPr>
        <w:t>761—430.3</w:t>
      </w:r>
      <w:r>
        <w:rPr>
          <w:rFonts w:ascii="Times New Roman" w:hAnsi="Times New Roman"/>
          <w:b/>
          <w:i w:val="false"/>
          <w:color w:val="000000"/>
          <w:sz w:val="22"/>
        </w:rPr>
        <w:t xml:space="preserve">(321F) </w:t>
      </w:r>
      <w:r>
        <w:rPr>
          <w:rFonts w:ascii="Times New Roman" w:hAnsi="Times New Roman"/>
          <w:b/>
          <w:i w:val="false"/>
          <w:color w:val="000000"/>
          <w:sz w:val="22"/>
        </w:rPr>
        <w:t xml:space="preserve">Supplemental statements. </w:t>
      </w:r>
      <w:r>
        <w:rPr>
          <w:rFonts w:ascii="Times New Roman" w:hAnsi="Times New Roman"/>
          <w:b w:val="false"/>
          <w:i w:val="false"/>
          <w:color w:val="000000"/>
          <w:sz w:val="22"/>
        </w:rPr>
        <w:t xml:space="preserve">The licensee shall notify the department, in writing, within ten days, at the address shown in </w:t>
      </w:r>
      <w:hyperlink r:id="rId7">
        <w:r>
          <w:rPr>
            <w:rStyle w:val="Hyperlink"/>
            <w:rFonts w:ascii="Times New Roman" w:hAnsi="Times New Roman"/>
            <w:b w:val="false"/>
            <w:i w:val="false"/>
            <w:color w:val="000000"/>
            <w:sz w:val="22"/>
          </w:rPr>
          <w:t>subrule 430.1(1)</w:t>
        </w:r>
      </w:hyperlink>
      <w:r>
        <w:rPr>
          <w:rFonts w:ascii="Times New Roman" w:hAnsi="Times New Roman"/>
          <w:b w:val="false"/>
          <w:i w:val="false"/>
          <w:color w:val="000000"/>
          <w:sz w:val="22"/>
        </w:rPr>
        <w:t>, of any change in the information required on the original application.</w:t>
      </w:r>
    </w:p>
    <w:p>
      <w:pPr>
        <w:spacing w:before="0" w:after="0"/>
        <w:ind w:left="120"/>
        <w:jc w:val="both"/>
      </w:pPr>
      <w:r>
        <w:rPr>
          <w:rFonts w:ascii="Times New Roman" w:hAnsi="Times New Roman"/>
          <w:b/>
          <w:i w:val="false"/>
          <w:color w:val="000000"/>
          <w:sz w:val="22"/>
        </w:rPr>
        <w:t>761—430.4</w:t>
      </w:r>
      <w:r>
        <w:rPr>
          <w:rFonts w:ascii="Times New Roman" w:hAnsi="Times New Roman"/>
          <w:b/>
          <w:i w:val="false"/>
          <w:color w:val="000000"/>
          <w:sz w:val="22"/>
        </w:rPr>
        <w:t xml:space="preserve">(321F) </w:t>
      </w:r>
      <w:r>
        <w:rPr>
          <w:rFonts w:ascii="Times New Roman" w:hAnsi="Times New Roman"/>
          <w:b/>
          <w:i w:val="false"/>
          <w:color w:val="000000"/>
          <w:sz w:val="22"/>
        </w:rPr>
        <w:t xml:space="preserve">Separate licenses required. </w:t>
      </w:r>
      <w:r>
        <w:rPr>
          <w:rFonts w:ascii="Times New Roman" w:hAnsi="Times New Roman"/>
          <w:b w:val="false"/>
          <w:i w:val="false"/>
          <w:color w:val="000000"/>
          <w:sz w:val="22"/>
        </w:rPr>
        <w:t>A separate license is required 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430.4(1)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address under which a single business entity will conduct business under Iowa Code chapter </w:t>
      </w:r>
      <w:hyperlink r:id="rId8">
        <w:r>
          <w:rPr>
            <w:rStyle w:val="Hyperlink"/>
            <w:rFonts w:ascii="Times New Roman" w:hAnsi="Times New Roman"/>
            <w:b w:val="false"/>
            <w:i w:val="false"/>
            <w:color w:val="000000"/>
            <w:sz w:val="22"/>
          </w:rPr>
          <w:t>321F</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430.4(2)</w:t>
      </w:r>
      <w:r>
        <w:rPr>
          <w:rFonts w:ascii="Times New Roman" w:hAnsi="Times New Roman"/>
          <w:b w:val="false"/>
          <w:i w:val="false"/>
          <w:color w:val="000000"/>
          <w:sz w:val="22"/>
        </w:rPr>
        <w:t> </w:t>
      </w:r>
      <w:r>
        <w:rPr>
          <w:rFonts w:ascii="Times New Roman" w:hAnsi="Times New Roman"/>
          <w:b w:val="false"/>
          <w:i w:val="false"/>
          <w:color w:val="000000"/>
          <w:sz w:val="22"/>
        </w:rPr>
        <w:t>Each address that will be used for titling or registering vehicles subject to registration in Iowa.</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321F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2"/>
        </w:rPr>
        <w:t>[</w:t>
      </w:r>
      <w:hyperlink r:id="rId10">
        <w:r>
          <w:rPr>
            <w:rStyle w:val="Hyperlink"/>
            <w:rFonts w:ascii="Times New Roman" w:hAnsi="Times New Roman"/>
            <w:b w:val="false"/>
            <w:i w:val="false"/>
            <w:color w:val="000000"/>
            <w:sz w:val="22"/>
          </w:rPr>
          <w:t>761—Chapter 430</w:t>
        </w:r>
      </w:hyperlink>
      <w:r>
        <w:rPr>
          <w:rFonts w:ascii="Times New Roman" w:hAnsi="Times New Roman"/>
          <w:b w:val="false"/>
          <w:i w:val="false"/>
          <w:color w:val="000000"/>
          <w:sz w:val="22"/>
        </w:rPr>
        <w:t xml:space="preserve"> appeared as Ch 6, Department of Public Safety, January 1975 Supplement]</w:t>
      </w:r>
    </w:p>
    <w:p>
      <w:pPr>
        <w:spacing w:before="0" w:after="0"/>
        <w:ind w:left="120"/>
        <w:jc w:val="center"/>
      </w:pPr>
      <w:r>
        <w:rPr>
          <w:rFonts w:ascii="Times New Roman" w:hAnsi="Times New Roman"/>
          <w:b w:val="false"/>
          <w:i w:val="false"/>
          <w:color w:val="000000"/>
          <w:sz w:val="21"/>
        </w:rPr>
        <w:t>[Filed 10/28/77, Notice 8/24/77—published 11/16/77, effective 12/21/77]</w:t>
      </w:r>
    </w:p>
    <w:p>
      <w:pPr>
        <w:spacing w:before="0" w:after="0"/>
        <w:ind w:left="120"/>
        <w:jc w:val="center"/>
      </w:pPr>
      <w:r>
        <w:rPr>
          <w:rFonts w:ascii="Times New Roman" w:hAnsi="Times New Roman"/>
          <w:b w:val="false"/>
          <w:i w:val="false"/>
          <w:color w:val="000000"/>
          <w:sz w:val="21"/>
        </w:rPr>
        <w:t>[Filed 9/9/81, Notice 7/22/81—published 9/30/81, effective 11/4/81]</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11/29/95, Notice 10/25/95—published 12/20/95, effective 1/24/96]</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2755C</w:t>
      </w:r>
      <w:r>
        <w:rPr>
          <w:rFonts w:ascii="Times New Roman" w:hAnsi="Times New Roman"/>
          <w:b w:val="false"/>
          <w:i w:val="false"/>
          <w:color w:val="000000"/>
          <w:sz w:val="21"/>
        </w:rPr>
        <w:t xml:space="preserve"> (Notice ARC 2640C, IAB 8/3/16)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6490C</w:t>
      </w:r>
      <w:r>
        <w:rPr>
          <w:rFonts w:ascii="Times New Roman" w:hAnsi="Times New Roman"/>
          <w:b w:val="false"/>
          <w:i w:val="false"/>
          <w:color w:val="000000"/>
          <w:sz w:val="21"/>
        </w:rPr>
        <w:t xml:space="preserve"> (Notice ARC 6342C, IAB 6/1/22)</w:t>
      </w:r>
      <w:r>
        <w:rPr>
          <w:rFonts w:ascii="Times New Roman" w:hAnsi="Times New Roman"/>
          <w:b w:val="false"/>
          <w:i w:val="false"/>
          <w:color w:val="000000"/>
          <w:sz w:val="21"/>
        </w:rPr>
        <w:t>, IAB 9/7/22, effective 10/12/22]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mailto:vcusto@iowadot.us" Type="http://schemas.openxmlformats.org/officeDocument/2006/relationships/hyperlink" Id="rId5"/>
    <Relationship TargetMode="External" Target="http://www.iowadot.gov" Type="http://schemas.openxmlformats.org/officeDocument/2006/relationships/hyperlink" Id="rId6"/>
    <Relationship TargetMode="External" Target="https://www.legis.iowa.gov/docs/iac/rule/761.430.1.pdf" Type="http://schemas.openxmlformats.org/officeDocument/2006/relationships/hyperlink" Id="rId7"/>
    <Relationship TargetMode="External" Target="https://www.legis.iowa.gov/docs/ico/chapter/321F.pdf" Type="http://schemas.openxmlformats.org/officeDocument/2006/relationships/hyperlink" Id="rId8"/>
    <Relationship TargetMode="External" Target="https://www.legis.iowa.gov/docs/ico/chapter/321F.pdf" Type="http://schemas.openxmlformats.org/officeDocument/2006/relationships/hyperlink" Id="rId9"/>
    <Relationship TargetMode="External" Target="https://www.legis.iowa.gov/docs/iac/chapter/761.430.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