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401</w:t>
      </w:r>
    </w:p>
    <w:p>
      <w:pPr>
        <w:spacing w:before="0" w:after="0"/>
        <w:ind w:left="120"/>
        <w:jc w:val="center"/>
      </w:pPr>
      <w:r>
        <w:rPr>
          <w:rFonts w:ascii="Times New Roman" w:hAnsi="Times New Roman"/>
          <w:b w:val="false"/>
          <w:i w:val="false"/>
          <w:color w:val="000000"/>
          <w:sz w:val="21"/>
        </w:rPr>
        <w:t>SPECIAL REGISTRATION PLATES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761—401.1</w:t>
      </w:r>
      <w:r>
        <w:rPr>
          <w:rFonts w:ascii="Times New Roman" w:hAnsi="Times New Roman"/>
          <w:b/>
          <w:i w:val="false"/>
          <w:color w:val="000000"/>
          <w:sz w:val="22"/>
        </w:rPr>
        <w:t xml:space="preserve">(321) </w:t>
      </w:r>
      <w:r>
        <w:rPr>
          <w:rFonts w:ascii="Times New Roman" w:hAnsi="Times New Roman"/>
          <w:b/>
          <w:i w:val="false"/>
          <w:color w:val="000000"/>
          <w:sz w:val="22"/>
        </w:rPr>
        <w:t xml:space="preserve">Definition. </w:t>
      </w:r>
      <w:r>
        <w:rPr>
          <w:rFonts w:ascii="Times New Roman" w:hAnsi="Times New Roman"/>
          <w:b w:val="false"/>
          <w:i w:val="false"/>
          <w:color w:val="000000"/>
          <w:sz w:val="22"/>
        </w:rPr>
        <w:t xml:space="preserve">“Special registration plates” means those registration plates issued under Iowa Code sections </w:t>
      </w:r>
      <w:hyperlink r:id="rId5">
        <w:r>
          <w:rPr>
            <w:rStyle w:val="Hyperlink"/>
            <w:rFonts w:ascii="Times New Roman" w:hAnsi="Times New Roman"/>
            <w:b w:val="false"/>
            <w:i w:val="false"/>
            <w:color w:val="000000"/>
            <w:sz w:val="22"/>
          </w:rPr>
          <w:t>321.34</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321.105</w:t>
        </w:r>
      </w:hyperlink>
      <w:r>
        <w:rPr>
          <w:rFonts w:ascii="Times New Roman" w:hAnsi="Times New Roman"/>
          <w:b w:val="false"/>
          <w:i w:val="false"/>
          <w:color w:val="000000"/>
          <w:sz w:val="22"/>
        </w:rPr>
        <w:t xml:space="preserve"> other than regular or sample plates. Special registration plates shall be issued in accordance with Iowa Code sections </w:t>
      </w:r>
      <w:hyperlink r:id="rId7">
        <w:r>
          <w:rPr>
            <w:rStyle w:val="Hyperlink"/>
            <w:rFonts w:ascii="Times New Roman" w:hAnsi="Times New Roman"/>
            <w:b w:val="false"/>
            <w:i w:val="false"/>
            <w:color w:val="000000"/>
            <w:sz w:val="22"/>
          </w:rPr>
          <w:t>321.34</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321.105</w:t>
        </w:r>
      </w:hyperlink>
      <w:r>
        <w:rPr>
          <w:rFonts w:ascii="Times New Roman" w:hAnsi="Times New Roman"/>
          <w:b w:val="false"/>
          <w:i w:val="false"/>
          <w:color w:val="000000"/>
          <w:sz w:val="22"/>
        </w:rPr>
        <w:t>, this chapter of rules, and other applicable provisions of law.</w:t>
      </w:r>
    </w:p>
    <w:p>
      <w:pPr>
        <w:spacing w:before="0" w:after="0"/>
        <w:ind w:left="120"/>
        <w:jc w:val="both"/>
      </w:pPr>
      <w:r>
        <w:rPr>
          <w:rFonts w:ascii="Times New Roman" w:hAnsi="Times New Roman"/>
          <w:b/>
          <w:i w:val="false"/>
          <w:color w:val="000000"/>
          <w:sz w:val="22"/>
        </w:rPr>
        <w:t>761—401.2</w:t>
      </w:r>
      <w:r>
        <w:rPr>
          <w:rFonts w:ascii="Times New Roman" w:hAnsi="Times New Roman"/>
          <w:b/>
          <w:i w:val="false"/>
          <w:color w:val="000000"/>
          <w:sz w:val="22"/>
        </w:rPr>
        <w:t xml:space="preserve">(321) </w:t>
      </w:r>
      <w:r>
        <w:rPr>
          <w:rFonts w:ascii="Times New Roman" w:hAnsi="Times New Roman"/>
          <w:b/>
          <w:i w:val="false"/>
          <w:color w:val="000000"/>
          <w:sz w:val="22"/>
        </w:rPr>
        <w:t xml:space="preserve">Application, issuance and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401.2(1)</w:t>
      </w:r>
      <w:r>
        <w:rPr>
          <w:rFonts w:ascii="Times New Roman" w:hAnsi="Times New Roman"/>
          <w:b w:val="false"/>
          <w:i w:val="false"/>
          <w:color w:val="000000"/>
          <w:sz w:val="22"/>
        </w:rPr>
        <w:t> </w:t>
      </w:r>
      <w:r>
        <w:rPr>
          <w:rFonts w:ascii="Times New Roman" w:hAnsi="Times New Roman"/>
          <w:b w:val="false"/>
          <w:i/>
          <w:color w:val="000000"/>
          <w:sz w:val="22"/>
        </w:rPr>
        <w:t xml:space="preserve">Original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Except for collegiate plates, application for letter-number designated special registration plates that do not have eligibility requirements shall be made directly to the county treasurer’s office; no application form is required for these plates.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 Application for blackout plates, collegiate plates, flying our colors plates, personalized plates, and special registration plates that have eligibility requirements must be submitted to the department in a manner prescribed by the department. Unless otherwise specified, completed applications for these plates shall be submitted to the department at the following address: Vehicle and Motor Carrier Services Bureau, Iowa Department of Transportation, P.O. Box 9278, Des Moines, Iowa 50306-9278. Applications may be obtained from the vehicle and motor carrier services bureau or from any county treasurer’s office. Applications are also available on the department’s website at </w:t>
      </w:r>
      <w:hyperlink r:id="rId9">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issuance fee, if any, shall be submitted with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401.2(2)</w:t>
      </w:r>
      <w:r>
        <w:rPr>
          <w:rFonts w:ascii="Times New Roman" w:hAnsi="Times New Roman"/>
          <w:b w:val="false"/>
          <w:i w:val="false"/>
          <w:color w:val="000000"/>
          <w:sz w:val="22"/>
        </w:rPr>
        <w:t> </w:t>
      </w:r>
      <w:r>
        <w:rPr>
          <w:rFonts w:ascii="Times New Roman" w:hAnsi="Times New Roman"/>
          <w:b w:val="false"/>
          <w:i/>
          <w:color w:val="000000"/>
          <w:sz w:val="22"/>
        </w:rPr>
        <w:t xml:space="preserve">Issuance.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Special registration plates shall be issued only to a person who is an owner or lessee of the vehicle and is entitled to the special registration plates.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Special registration plates shall not be issued unless the vehicle is currently registered and the registration plates previously issued are surrendered to the county treasurer. Special registration plates are void if they are not assigned to a vehicle within 90 days after the date the department orders them. A new application and a new issuance fee are required if the plates are reordered after the 90-day period.</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xml:space="preserve"> Rescinded </w:t>
      </w:r>
      <w:r>
        <w:rPr>
          <w:rFonts w:ascii="Times New Roman" w:hAnsi="Times New Roman"/>
          <w:b w:val="false"/>
          <w:i w:val="false"/>
          <w:color w:val="000000"/>
          <w:sz w:val="22"/>
        </w:rPr>
        <w:t>IAB 11/7/07</w:t>
      </w:r>
      <w:r>
        <w:rPr>
          <w:rFonts w:ascii="Times New Roman" w:hAnsi="Times New Roman"/>
          <w:b w:val="false"/>
          <w:i w:val="false"/>
          <w:color w:val="000000"/>
          <w:sz w:val="22"/>
        </w:rPr>
        <w:t>, effective 12/12/07.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401.2(3)</w:t>
      </w:r>
      <w:r>
        <w:rPr>
          <w:rFonts w:ascii="Times New Roman" w:hAnsi="Times New Roman"/>
          <w:b w:val="false"/>
          <w:i w:val="false"/>
          <w:color w:val="000000"/>
          <w:sz w:val="22"/>
        </w:rPr>
        <w:t> </w:t>
      </w:r>
      <w:r>
        <w:rPr>
          <w:rFonts w:ascii="Times New Roman" w:hAnsi="Times New Roman"/>
          <w:b w:val="false"/>
          <w:i/>
          <w:color w:val="000000"/>
          <w:sz w:val="22"/>
        </w:rPr>
        <w:t xml:space="preserve">Renewal. </w:t>
      </w:r>
      <w:r>
        <w:rPr>
          <w:rFonts w:ascii="Times New Roman" w:hAnsi="Times New Roman"/>
          <w:b w:val="false"/>
          <w:i w:val="false"/>
          <w:color w:val="000000"/>
          <w:sz w:val="22"/>
        </w:rPr>
        <w:t>Special registration plates are renewed at the office of the county treasurer of the county of residence of the applicant. The renewal fee, if any, is termed a “validation” fee. The validation fee shall be paid when the regular annual registration fee is due and is in addition to the regular annual registration fee. If renewal is delinquent for more than one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new application and a new issuance fee are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issue the combination of characters on personalized plates to another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401.2(4)</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 xml:space="preserve">The issuance and validation fees for the various types of special registration plates that are available are set out in Iowa Code section </w:t>
      </w:r>
      <w:hyperlink r:id="rId10">
        <w:r>
          <w:rPr>
            <w:rStyle w:val="Hyperlink"/>
            <w:rFonts w:ascii="Times New Roman" w:hAnsi="Times New Roman"/>
            <w:b w:val="false"/>
            <w:i w:val="false"/>
            <w:color w:val="000000"/>
            <w:sz w:val="22"/>
          </w:rPr>
          <w:t>321.34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9048B</w:t>
      </w:r>
      <w:r>
        <w:rPr>
          <w:rFonts w:ascii="Times New Roman" w:hAnsi="Times New Roman"/>
          <w:b w:val="false"/>
          <w:i w:val="false"/>
          <w:color w:val="000000"/>
          <w:sz w:val="16"/>
        </w:rPr>
        <w:t>, IAB 9/8/10, effective 10/13/10</w:t>
      </w:r>
      <w:r>
        <w:rPr>
          <w:rFonts w:ascii="Times New Roman" w:hAnsi="Times New Roman"/>
          <w:b w:val="false"/>
          <w:i w:val="false"/>
          <w:color w:val="000000"/>
          <w:sz w:val="16"/>
        </w:rPr>
        <w:t xml:space="preserve">; </w:t>
      </w:r>
      <w:r>
        <w:rPr>
          <w:rFonts w:ascii="Times New Roman" w:hAnsi="Times New Roman"/>
          <w:b/>
          <w:i w:val="false"/>
          <w:color w:val="000000"/>
          <w:sz w:val="16"/>
        </w:rPr>
        <w:t>ARC 3935C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 xml:space="preserve">; </w:t>
      </w:r>
      <w:r>
        <w:rPr>
          <w:rFonts w:ascii="Times New Roman" w:hAnsi="Times New Roman"/>
          <w:b/>
          <w:i w:val="false"/>
          <w:color w:val="000000"/>
          <w:sz w:val="16"/>
        </w:rPr>
        <w:t>ARC 4908C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5344C</w:t>
      </w:r>
      <w:r>
        <w:rPr>
          <w:rFonts w:ascii="Times New Roman" w:hAnsi="Times New Roman"/>
          <w:b w:val="false"/>
          <w:i w:val="false"/>
          <w:color w:val="000000"/>
          <w:sz w:val="16"/>
        </w:rPr>
        <w:t>, IAB 12/30/20, effective 2/3/21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761—401.3</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761—401.4</w:t>
      </w:r>
      <w:r>
        <w:rPr>
          <w:rFonts w:ascii="Times New Roman" w:hAnsi="Times New Roman"/>
          <w:b/>
          <w:i w:val="false"/>
          <w:color w:val="000000"/>
          <w:sz w:val="22"/>
        </w:rPr>
        <w:t xml:space="preserve">(321) </w:t>
      </w:r>
      <w:r>
        <w:rPr>
          <w:rFonts w:ascii="Times New Roman" w:hAnsi="Times New Roman"/>
          <w:b/>
          <w:i w:val="false"/>
          <w:color w:val="000000"/>
          <w:sz w:val="22"/>
        </w:rPr>
        <w:t xml:space="preserve">Gift certificates. </w:t>
      </w:r>
      <w:r>
        <w:rPr>
          <w:rFonts w:ascii="Times New Roman" w:hAnsi="Times New Roman"/>
          <w:b w:val="false"/>
          <w:i w:val="false"/>
          <w:color w:val="000000"/>
          <w:sz w:val="22"/>
        </w:rPr>
        <w:t>Gift certificates for blackout plates, collegiate plates, flying our colors plates, personalized plates, and special registration plates that have eligibility requirements may be purchased using the prescribed plate application. Gift certificates for special registration plates that counties have in their inventories may be purchased from county treasurers’ offices.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4908C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5344C</w:t>
      </w:r>
      <w:r>
        <w:rPr>
          <w:rFonts w:ascii="Times New Roman" w:hAnsi="Times New Roman"/>
          <w:b w:val="false"/>
          <w:i w:val="false"/>
          <w:color w:val="000000"/>
          <w:sz w:val="16"/>
        </w:rPr>
        <w:t>, IAB 12/30/20, effective 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761—401.5</w:t>
      </w:r>
      <w:r>
        <w:rPr>
          <w:rFonts w:ascii="Times New Roman" w:hAnsi="Times New Roman"/>
          <w:b/>
          <w:i w:val="false"/>
          <w:color w:val="000000"/>
          <w:sz w:val="22"/>
        </w:rPr>
        <w:t xml:space="preserve">(321) </w:t>
      </w:r>
      <w:r>
        <w:rPr>
          <w:rFonts w:ascii="Times New Roman" w:hAnsi="Times New Roman"/>
          <w:b/>
          <w:i w:val="false"/>
          <w:color w:val="000000"/>
          <w:sz w:val="22"/>
        </w:rPr>
        <w:t xml:space="preserve">Amateur radio call letter plates. </w:t>
      </w:r>
      <w:r>
        <w:rPr>
          <w:rFonts w:ascii="Times New Roman" w:hAnsi="Times New Roman"/>
          <w:b w:val="false"/>
          <w:i w:val="false"/>
          <w:color w:val="000000"/>
          <w:sz w:val="22"/>
        </w:rPr>
        <w:t>Application for amateur radio call letter plates shall be made to the county treasurer in a manner prescribed by the department. The number of the amateur radio license issued by the Federal Communications Commission shall be listed on the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4908C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761—401.6</w:t>
      </w:r>
      <w:r>
        <w:rPr>
          <w:rFonts w:ascii="Times New Roman" w:hAnsi="Times New Roman"/>
          <w:b/>
          <w:i w:val="false"/>
          <w:color w:val="000000"/>
          <w:sz w:val="22"/>
        </w:rPr>
        <w:t xml:space="preserve">(321) </w:t>
      </w:r>
      <w:r>
        <w:rPr>
          <w:rFonts w:ascii="Times New Roman" w:hAnsi="Times New Roman"/>
          <w:b/>
          <w:i w:val="false"/>
          <w:color w:val="000000"/>
          <w:sz w:val="22"/>
        </w:rPr>
        <w:t xml:space="preserve">Personalized plates.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401.6(1)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Application for personalized plates shall be submitted to the department in a manner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401.6(2)</w:t>
      </w:r>
      <w:r>
        <w:rPr>
          <w:rFonts w:ascii="Times New Roman" w:hAnsi="Times New Roman"/>
          <w:b w:val="false"/>
          <w:i w:val="false"/>
          <w:color w:val="000000"/>
          <w:sz w:val="22"/>
        </w:rPr>
        <w:t> </w:t>
      </w:r>
      <w:r>
        <w:rPr>
          <w:rFonts w:ascii="Times New Roman" w:hAnsi="Times New Roman"/>
          <w:b w:val="false"/>
          <w:i/>
          <w:color w:val="000000"/>
          <w:sz w:val="22"/>
        </w:rPr>
        <w:t xml:space="preserve">Characters. </w:t>
      </w:r>
      <w:r>
        <w:rPr>
          <w:rFonts w:ascii="Times New Roman" w:hAnsi="Times New Roman"/>
          <w:b w:val="false"/>
          <w:i w:val="false"/>
          <w:color w:val="000000"/>
          <w:sz w:val="22"/>
        </w:rPr>
        <w:t>The personalized plates shall consist of no fewer than two nor more than seven characters except that personalized plates for motorcycles, autocycles and small trailers shall consist of no fewer than two nor more than six characters.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characters “A” to “Z” and “0” to “9” may be used.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personalized plates shall not duplicate combinations of characters reserved or issued for any other vehicle plate series under Iowa Code chapter </w:t>
      </w:r>
      <w:hyperlink r:id="rId11">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combination of characters denoting a governmental agency shall be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 issue any combination of characters it determines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Sexual in connotation;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term of vulgarity, contempt, prejudice, hostility, insult, or racial or ethnic degradation;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Recognized as a swear word;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reference to an illegal substance;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reference to a criminal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Offensive;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foreign word falling into any of these categories.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401.6(3)</w:t>
      </w:r>
      <w:r>
        <w:rPr>
          <w:rFonts w:ascii="Times New Roman" w:hAnsi="Times New Roman"/>
          <w:b w:val="false"/>
          <w:i w:val="false"/>
          <w:color w:val="000000"/>
          <w:sz w:val="22"/>
        </w:rPr>
        <w:t> </w:t>
      </w:r>
      <w:r>
        <w:rPr>
          <w:rFonts w:ascii="Times New Roman" w:hAnsi="Times New Roman"/>
          <w:b w:val="false"/>
          <w:i/>
          <w:color w:val="000000"/>
          <w:sz w:val="22"/>
        </w:rPr>
        <w:t xml:space="preserve">Renewal.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11/23/05</w:t>
      </w:r>
      <w:r>
        <w:rPr>
          <w:rFonts w:ascii="Times New Roman" w:hAnsi="Times New Roman"/>
          <w:b w:val="false"/>
          <w:i w:val="false"/>
          <w:color w:val="000000"/>
          <w:sz w:val="22"/>
        </w:rPr>
        <w:t>, effective 12/28/05.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401.6(4)</w:t>
      </w:r>
      <w:r>
        <w:rPr>
          <w:rFonts w:ascii="Times New Roman" w:hAnsi="Times New Roman"/>
          <w:b w:val="false"/>
          <w:i w:val="false"/>
          <w:color w:val="000000"/>
          <w:sz w:val="22"/>
        </w:rPr>
        <w:t> </w:t>
      </w:r>
      <w:r>
        <w:rPr>
          <w:rFonts w:ascii="Times New Roman" w:hAnsi="Times New Roman"/>
          <w:b w:val="false"/>
          <w:i/>
          <w:color w:val="000000"/>
          <w:sz w:val="22"/>
        </w:rPr>
        <w:t xml:space="preserve">Reassignment.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11/23/05</w:t>
      </w:r>
      <w:r>
        <w:rPr>
          <w:rFonts w:ascii="Times New Roman" w:hAnsi="Times New Roman"/>
          <w:b w:val="false"/>
          <w:i w:val="false"/>
          <w:color w:val="000000"/>
          <w:sz w:val="22"/>
        </w:rPr>
        <w:t>, effective 12/28/05.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401.6(5)</w:t>
      </w:r>
      <w:r>
        <w:rPr>
          <w:rFonts w:ascii="Times New Roman" w:hAnsi="Times New Roman"/>
          <w:b w:val="false"/>
          <w:i w:val="false"/>
          <w:color w:val="000000"/>
          <w:sz w:val="22"/>
        </w:rPr>
        <w:t> </w:t>
      </w:r>
      <w:r>
        <w:rPr>
          <w:rFonts w:ascii="Times New Roman" w:hAnsi="Times New Roman"/>
          <w:b w:val="false"/>
          <w:i/>
          <w:color w:val="000000"/>
          <w:sz w:val="22"/>
        </w:rPr>
        <w:t xml:space="preserve">Gift certificate.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11/23/05</w:t>
      </w:r>
      <w:r>
        <w:rPr>
          <w:rFonts w:ascii="Times New Roman" w:hAnsi="Times New Roman"/>
          <w:b w:val="false"/>
          <w:i w:val="false"/>
          <w:color w:val="000000"/>
          <w:sz w:val="22"/>
        </w:rPr>
        <w:t>, effective 12/28/05.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2985C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 xml:space="preserve">; </w:t>
      </w:r>
      <w:r>
        <w:rPr>
          <w:rFonts w:ascii="Times New Roman" w:hAnsi="Times New Roman"/>
          <w:b/>
          <w:i w:val="false"/>
          <w:color w:val="000000"/>
          <w:sz w:val="16"/>
        </w:rPr>
        <w:t>ARC 4908C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 xml:space="preserve">; </w:t>
      </w:r>
      <w:r>
        <w:rPr>
          <w:rFonts w:ascii="Times New Roman" w:hAnsi="Times New Roman"/>
          <w:b/>
          <w:i w:val="false"/>
          <w:color w:val="000000"/>
          <w:sz w:val="16"/>
        </w:rPr>
        <w:t>ARC 5344C</w:t>
      </w:r>
      <w:r>
        <w:rPr>
          <w:rFonts w:ascii="Times New Roman" w:hAnsi="Times New Roman"/>
          <w:b w:val="false"/>
          <w:i w:val="false"/>
          <w:color w:val="000000"/>
          <w:sz w:val="16"/>
        </w:rPr>
        <w:t>, IAB 12/30/20, effective 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761—401.7</w:t>
      </w:r>
      <w:r>
        <w:rPr>
          <w:rFonts w:ascii="Times New Roman" w:hAnsi="Times New Roman"/>
          <w:b/>
          <w:i w:val="false"/>
          <w:color w:val="000000"/>
          <w:sz w:val="22"/>
        </w:rPr>
        <w:t xml:space="preserve">(321) </w:t>
      </w:r>
      <w:r>
        <w:rPr>
          <w:rFonts w:ascii="Times New Roman" w:hAnsi="Times New Roman"/>
          <w:b/>
          <w:i w:val="false"/>
          <w:color w:val="000000"/>
          <w:sz w:val="22"/>
        </w:rPr>
        <w:t xml:space="preserve">Collegiate plates.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401.7(1)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Application for collegiate plates shall be submitted to the department in a manner prescribed by the department. The applicant may request letter-number designated collegiate plates or personalized collegiate plates. Collegiate plates for motorcycles, autocycles and small trailers are not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401.7(2)</w:t>
      </w:r>
      <w:r>
        <w:rPr>
          <w:rFonts w:ascii="Times New Roman" w:hAnsi="Times New Roman"/>
          <w:b w:val="false"/>
          <w:i w:val="false"/>
          <w:color w:val="000000"/>
          <w:sz w:val="22"/>
        </w:rPr>
        <w:t> </w:t>
      </w:r>
      <w:r>
        <w:rPr>
          <w:rFonts w:ascii="Times New Roman" w:hAnsi="Times New Roman"/>
          <w:b w:val="false"/>
          <w:i/>
          <w:color w:val="000000"/>
          <w:sz w:val="22"/>
        </w:rPr>
        <w:t xml:space="preserve">Characters. </w:t>
      </w:r>
      <w:r>
        <w:rPr>
          <w:rFonts w:ascii="Times New Roman" w:hAnsi="Times New Roman"/>
          <w:b w:val="false"/>
          <w:i w:val="false"/>
          <w:color w:val="000000"/>
          <w:sz w:val="22"/>
        </w:rPr>
        <w:t xml:space="preserve">Personalized collegiate plates shall be issued in accordance with subrule </w:t>
      </w:r>
      <w:hyperlink r:id="rId12">
        <w:r>
          <w:rPr>
            <w:rStyle w:val="Hyperlink"/>
            <w:rFonts w:ascii="Times New Roman" w:hAnsi="Times New Roman"/>
            <w:b w:val="false"/>
            <w:i w:val="false"/>
            <w:color w:val="000000"/>
            <w:sz w:val="22"/>
          </w:rPr>
          <w:t>401.6(2)</w:t>
        </w:r>
      </w:hyperlink>
      <w:r>
        <w:rPr>
          <w:rFonts w:ascii="Times New Roman" w:hAnsi="Times New Roman"/>
          <w:b w:val="false"/>
          <w:i w:val="false"/>
          <w:color w:val="000000"/>
          <w:sz w:val="22"/>
        </w:rPr>
        <w:t xml:space="preserve"> except that personalized collegiate plates are not available for motorcycles, autocycles and small trailers.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401.7(3)</w:t>
      </w:r>
      <w:r>
        <w:rPr>
          <w:rFonts w:ascii="Times New Roman" w:hAnsi="Times New Roman"/>
          <w:b w:val="false"/>
          <w:i w:val="false"/>
          <w:color w:val="000000"/>
          <w:sz w:val="22"/>
        </w:rPr>
        <w:t> </w:t>
      </w:r>
      <w:r>
        <w:rPr>
          <w:rFonts w:ascii="Times New Roman" w:hAnsi="Times New Roman"/>
          <w:b w:val="false"/>
          <w:i/>
          <w:color w:val="000000"/>
          <w:sz w:val="22"/>
        </w:rPr>
        <w:t xml:space="preserve">Renewal.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11/23/05</w:t>
      </w:r>
      <w:r>
        <w:rPr>
          <w:rFonts w:ascii="Times New Roman" w:hAnsi="Times New Roman"/>
          <w:b w:val="false"/>
          <w:i w:val="false"/>
          <w:color w:val="000000"/>
          <w:sz w:val="22"/>
        </w:rPr>
        <w:t>, effective 12/28/05.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401.7(4)</w:t>
      </w:r>
      <w:r>
        <w:rPr>
          <w:rFonts w:ascii="Times New Roman" w:hAnsi="Times New Roman"/>
          <w:b w:val="false"/>
          <w:i w:val="false"/>
          <w:color w:val="000000"/>
          <w:sz w:val="22"/>
        </w:rPr>
        <w:t> </w:t>
      </w:r>
      <w:r>
        <w:rPr>
          <w:rFonts w:ascii="Times New Roman" w:hAnsi="Times New Roman"/>
          <w:b w:val="false"/>
          <w:i/>
          <w:color w:val="000000"/>
          <w:sz w:val="22"/>
        </w:rPr>
        <w:t xml:space="preserve">Reassignment.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11/23/05</w:t>
      </w:r>
      <w:r>
        <w:rPr>
          <w:rFonts w:ascii="Times New Roman" w:hAnsi="Times New Roman"/>
          <w:b w:val="false"/>
          <w:i w:val="false"/>
          <w:color w:val="000000"/>
          <w:sz w:val="22"/>
        </w:rPr>
        <w:t>, effective 12/28/05.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401.7(5)</w:t>
      </w:r>
      <w:r>
        <w:rPr>
          <w:rFonts w:ascii="Times New Roman" w:hAnsi="Times New Roman"/>
          <w:b w:val="false"/>
          <w:i w:val="false"/>
          <w:color w:val="000000"/>
          <w:sz w:val="22"/>
        </w:rPr>
        <w:t> </w:t>
      </w:r>
      <w:r>
        <w:rPr>
          <w:rFonts w:ascii="Times New Roman" w:hAnsi="Times New Roman"/>
          <w:b w:val="false"/>
          <w:i/>
          <w:color w:val="000000"/>
          <w:sz w:val="22"/>
        </w:rPr>
        <w:t xml:space="preserve">Gift certificate.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11/23/05</w:t>
      </w:r>
      <w:r>
        <w:rPr>
          <w:rFonts w:ascii="Times New Roman" w:hAnsi="Times New Roman"/>
          <w:b w:val="false"/>
          <w:i w:val="false"/>
          <w:color w:val="000000"/>
          <w:sz w:val="22"/>
        </w:rPr>
        <w:t>, effective 12/28/05.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2985C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 xml:space="preserve">; </w:t>
      </w:r>
      <w:r>
        <w:rPr>
          <w:rFonts w:ascii="Times New Roman" w:hAnsi="Times New Roman"/>
          <w:b/>
          <w:i w:val="false"/>
          <w:color w:val="000000"/>
          <w:sz w:val="16"/>
        </w:rPr>
        <w:t>ARC 4908C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761—401.8</w:t>
      </w:r>
      <w:r>
        <w:rPr>
          <w:rFonts w:ascii="Times New Roman" w:hAnsi="Times New Roman"/>
          <w:b/>
          <w:i w:val="false"/>
          <w:color w:val="000000"/>
          <w:sz w:val="22"/>
        </w:rPr>
        <w:t xml:space="preserve">(321) </w:t>
      </w:r>
      <w:r>
        <w:rPr>
          <w:rFonts w:ascii="Times New Roman" w:hAnsi="Times New Roman"/>
          <w:b/>
          <w:i w:val="false"/>
          <w:color w:val="000000"/>
          <w:sz w:val="22"/>
        </w:rPr>
        <w:t xml:space="preserve">Medal of Honor plates.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401.8(1)</w:t>
      </w:r>
      <w:r>
        <w:rPr>
          <w:rFonts w:ascii="Times New Roman" w:hAnsi="Times New Roman"/>
          <w:b w:val="false"/>
          <w:i w:val="false"/>
          <w:color w:val="000000"/>
          <w:sz w:val="22"/>
        </w:rPr>
        <w:t> </w:t>
      </w:r>
      <w:r>
        <w:rPr>
          <w:rFonts w:ascii="Times New Roman" w:hAnsi="Times New Roman"/>
          <w:b w:val="false"/>
          <w:i w:val="false"/>
          <w:color w:val="000000"/>
          <w:sz w:val="22"/>
        </w:rPr>
        <w:t>Application for Medal of Honor plates shall be submitted to the department in a manner prescribed by the department. The applicant shall attach a copy of the official government document verifying receipt of the medal of honor.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401.8(2)</w:t>
      </w:r>
      <w:r>
        <w:rPr>
          <w:rFonts w:ascii="Times New Roman" w:hAnsi="Times New Roman"/>
          <w:b w:val="false"/>
          <w:i w:val="false"/>
          <w:color w:val="000000"/>
          <w:sz w:val="22"/>
        </w:rPr>
        <w:t> </w:t>
      </w:r>
      <w:r>
        <w:rPr>
          <w:rFonts w:ascii="Times New Roman" w:hAnsi="Times New Roman"/>
          <w:b w:val="false"/>
          <w:i w:val="false"/>
          <w:color w:val="000000"/>
          <w:sz w:val="22"/>
        </w:rPr>
        <w:t>Medal of Honor plates are limited to five characters. Personalized plates are not available.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4908C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761—401.9</w:t>
      </w:r>
      <w:r>
        <w:rPr>
          <w:rFonts w:ascii="Times New Roman" w:hAnsi="Times New Roman"/>
          <w:b/>
          <w:i w:val="false"/>
          <w:color w:val="000000"/>
          <w:sz w:val="22"/>
        </w:rPr>
        <w:t xml:space="preserve">(321) </w:t>
      </w:r>
      <w:r>
        <w:rPr>
          <w:rFonts w:ascii="Times New Roman" w:hAnsi="Times New Roman"/>
          <w:b/>
          <w:i w:val="false"/>
          <w:color w:val="000000"/>
          <w:sz w:val="22"/>
        </w:rPr>
        <w:t xml:space="preserve">Firefighter plates.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401.9(1)</w:t>
      </w:r>
      <w:r>
        <w:rPr>
          <w:rFonts w:ascii="Times New Roman" w:hAnsi="Times New Roman"/>
          <w:b w:val="false"/>
          <w:i w:val="false"/>
          <w:color w:val="000000"/>
          <w:sz w:val="22"/>
        </w:rPr>
        <w:t> </w:t>
      </w:r>
      <w:r>
        <w:rPr>
          <w:rFonts w:ascii="Times New Roman" w:hAnsi="Times New Roman"/>
          <w:b w:val="false"/>
          <w:i/>
          <w:color w:val="000000"/>
          <w:sz w:val="22"/>
        </w:rPr>
        <w:t xml:space="preserve">Initial application for firefighter plates. </w:t>
      </w:r>
      <w:r>
        <w:rPr>
          <w:rFonts w:ascii="Times New Roman" w:hAnsi="Times New Roman"/>
          <w:b w:val="false"/>
          <w:i w:val="false"/>
          <w:color w:val="000000"/>
          <w:sz w:val="22"/>
        </w:rPr>
        <w:t>Application for firefighter plates shall be submitted to the department in a manner prescribed by the department. Both the fire chief and another fire officer of the paid or volunteer fire department shall sign the application, certifying that the applicant is a current or retired member of the fire department. If the fire chief and fire officer deny an application, the department may conduct an investigation and make a determination to approve or deny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401.9(2)</w:t>
      </w:r>
      <w:r>
        <w:rPr>
          <w:rFonts w:ascii="Times New Roman" w:hAnsi="Times New Roman"/>
          <w:b w:val="false"/>
          <w:i w:val="false"/>
          <w:color w:val="000000"/>
          <w:sz w:val="22"/>
        </w:rPr>
        <w:t> </w:t>
      </w:r>
      <w:r>
        <w:rPr>
          <w:rFonts w:ascii="Times New Roman" w:hAnsi="Times New Roman"/>
          <w:b w:val="false"/>
          <w:i/>
          <w:color w:val="000000"/>
          <w:sz w:val="22"/>
        </w:rPr>
        <w:t xml:space="preserve">Renewal of firefighter plates for a current member. </w:t>
      </w:r>
      <w:r>
        <w:rPr>
          <w:rFonts w:ascii="Times New Roman" w:hAnsi="Times New Roman"/>
          <w:b w:val="false"/>
          <w:i w:val="false"/>
          <w:color w:val="000000"/>
          <w:sz w:val="22"/>
        </w:rPr>
        <w:t>A new application is required in order to renew firefighter plates issued to a current member. The application shall be submitted to the county treasurer’s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401.9(3)</w:t>
      </w:r>
      <w:r>
        <w:rPr>
          <w:rFonts w:ascii="Times New Roman" w:hAnsi="Times New Roman"/>
          <w:b w:val="false"/>
          <w:i w:val="false"/>
          <w:color w:val="000000"/>
          <w:sz w:val="22"/>
        </w:rPr>
        <w:t> </w:t>
      </w:r>
      <w:r>
        <w:rPr>
          <w:rFonts w:ascii="Times New Roman" w:hAnsi="Times New Roman"/>
          <w:b w:val="false"/>
          <w:i/>
          <w:color w:val="000000"/>
          <w:sz w:val="22"/>
        </w:rPr>
        <w:t xml:space="preserve">Renewal of firefighter plates for a retired member.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new application is not required in order to renew firefighter plates issued to a retired member if the initial application for firefighter plates is made after January 1, 2005.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firefighter plates issued to a retired member prior to January 1, 2005, a new application is required in order to renew firefighter plates until the plates have been renewed once after January 1, 2005. The application shall be submitted to the county treasurer’s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401.9(4)</w:t>
      </w:r>
      <w:r>
        <w:rPr>
          <w:rFonts w:ascii="Times New Roman" w:hAnsi="Times New Roman"/>
          <w:b w:val="false"/>
          <w:i w:val="false"/>
          <w:color w:val="000000"/>
          <w:sz w:val="22"/>
        </w:rPr>
        <w:t> </w:t>
      </w:r>
      <w:r>
        <w:rPr>
          <w:rFonts w:ascii="Times New Roman" w:hAnsi="Times New Roman"/>
          <w:b w:val="false"/>
          <w:i/>
          <w:color w:val="000000"/>
          <w:sz w:val="22"/>
        </w:rPr>
        <w:t xml:space="preserve">Plates. </w:t>
      </w:r>
      <w:r>
        <w:rPr>
          <w:rFonts w:ascii="Times New Roman" w:hAnsi="Times New Roman"/>
          <w:b w:val="false"/>
          <w:i w:val="false"/>
          <w:color w:val="000000"/>
          <w:sz w:val="22"/>
        </w:rPr>
        <w:t>Firefighter plates are limited to five characters. Personalized plates are not available. When a new series of firefighter plates is issued to replace a current series or the plate has been lost, stolen, or damaged, an applicant may obtain replacement plates containing the applicant’s previous plate number upon payment of the statutory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401.9(5)</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apply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“Current” </w:t>
      </w:r>
      <w:r>
        <w:rPr>
          <w:rFonts w:ascii="Times New Roman" w:hAnsi="Times New Roman"/>
          <w:b w:val="false"/>
          <w:i w:val="false"/>
          <w:color w:val="000000"/>
          <w:sz w:val="22"/>
        </w:rPr>
        <w:t>means a member who has at least one year of service and is in good standing, as determined by the fire chief.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“Fire officer” </w:t>
      </w:r>
      <w:r>
        <w:rPr>
          <w:rFonts w:ascii="Times New Roman" w:hAnsi="Times New Roman"/>
          <w:b w:val="false"/>
          <w:i w:val="false"/>
          <w:color w:val="000000"/>
          <w:sz w:val="22"/>
        </w:rPr>
        <w:t>means a member of the same fire department as the applicant and who is second in command to the fire chief.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“Retired”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“officially retired” </w:t>
      </w:r>
      <w:r>
        <w:rPr>
          <w:rFonts w:ascii="Times New Roman" w:hAnsi="Times New Roman"/>
          <w:b w:val="false"/>
          <w:i w:val="false"/>
          <w:color w:val="000000"/>
          <w:sz w:val="22"/>
        </w:rPr>
        <w:t>means a former member who has a minimum of ten years’ total service in good standing, as determined by the fire chief.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0778C</w:t>
      </w:r>
      <w:r>
        <w:rPr>
          <w:rFonts w:ascii="Times New Roman" w:hAnsi="Times New Roman"/>
          <w:b w:val="false"/>
          <w:i w:val="false"/>
          <w:color w:val="000000"/>
          <w:sz w:val="16"/>
        </w:rPr>
        <w:t>, IAB 6/12/13, effective 7/17/13</w:t>
      </w:r>
      <w:r>
        <w:rPr>
          <w:rFonts w:ascii="Times New Roman" w:hAnsi="Times New Roman"/>
          <w:b w:val="false"/>
          <w:i w:val="false"/>
          <w:color w:val="000000"/>
          <w:sz w:val="16"/>
        </w:rPr>
        <w:t xml:space="preserve">; </w:t>
      </w:r>
      <w:r>
        <w:rPr>
          <w:rFonts w:ascii="Times New Roman" w:hAnsi="Times New Roman"/>
          <w:b/>
          <w:i w:val="false"/>
          <w:color w:val="000000"/>
          <w:sz w:val="16"/>
        </w:rPr>
        <w:t>ARC 4344C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761—401.10</w:t>
      </w:r>
      <w:r>
        <w:rPr>
          <w:rFonts w:ascii="Times New Roman" w:hAnsi="Times New Roman"/>
          <w:b/>
          <w:i w:val="false"/>
          <w:color w:val="000000"/>
          <w:sz w:val="22"/>
        </w:rPr>
        <w:t xml:space="preserve">(321) </w:t>
      </w:r>
      <w:r>
        <w:rPr>
          <w:rFonts w:ascii="Times New Roman" w:hAnsi="Times New Roman"/>
          <w:b/>
          <w:i w:val="false"/>
          <w:color w:val="000000"/>
          <w:sz w:val="22"/>
        </w:rPr>
        <w:t xml:space="preserve">Emergency medical services plates.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401.10(1)</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for emergency medical services (EMS) plates shall be submitted to the department in a manner prescribed by the department. The applicant and the applicant’s service director shall sign the application certifying that the applicant is a current member of a paid or volunteer emergency medical services agency. For purposes of this subrule, “service director” means a service director as defined in Iowa department of public health rule </w:t>
      </w:r>
      <w:hyperlink r:id="rId13">
        <w:r>
          <w:rPr>
            <w:rStyle w:val="Hyperlink"/>
            <w:rFonts w:ascii="Times New Roman" w:hAnsi="Times New Roman"/>
            <w:b w:val="false"/>
            <w:i w:val="false"/>
            <w:color w:val="000000"/>
            <w:sz w:val="22"/>
          </w:rPr>
          <w:t>641—132.1</w:t>
        </w:r>
      </w:hyperlink>
      <w:r>
        <w:rPr>
          <w:rFonts w:ascii="Times New Roman" w:hAnsi="Times New Roman"/>
          <w:b w:val="false"/>
          <w:i w:val="false"/>
          <w:color w:val="000000"/>
          <w:sz w:val="22"/>
        </w:rPr>
        <w:t>(147A).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401.10(2)</w:t>
      </w:r>
      <w:r>
        <w:rPr>
          <w:rFonts w:ascii="Times New Roman" w:hAnsi="Times New Roman"/>
          <w:b w:val="false"/>
          <w:i w:val="false"/>
          <w:color w:val="000000"/>
          <w:sz w:val="22"/>
        </w:rPr>
        <w:t> </w:t>
      </w:r>
      <w:r>
        <w:rPr>
          <w:rFonts w:ascii="Times New Roman" w:hAnsi="Times New Roman"/>
          <w:b w:val="false"/>
          <w:i w:val="false"/>
          <w:color w:val="000000"/>
          <w:sz w:val="22"/>
        </w:rPr>
        <w:t>A vehicle owner whose membership in a paid or volunteer emergency medical services agency is terminated shall within 30 days after termination surrender the EMS plates to the county treasurer in exchange for regular registration plates.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401.10(3)</w:t>
      </w:r>
      <w:r>
        <w:rPr>
          <w:rFonts w:ascii="Times New Roman" w:hAnsi="Times New Roman"/>
          <w:b w:val="false"/>
          <w:i w:val="false"/>
          <w:color w:val="000000"/>
          <w:sz w:val="22"/>
        </w:rPr>
        <w:t> </w:t>
      </w:r>
      <w:r>
        <w:rPr>
          <w:rFonts w:ascii="Times New Roman" w:hAnsi="Times New Roman"/>
          <w:b w:val="false"/>
          <w:i w:val="false"/>
          <w:color w:val="000000"/>
          <w:sz w:val="22"/>
        </w:rPr>
        <w:t>EMS plates are limited to five characters. Personalized plates are not available. When a new series of EMS plates is issued to replace a current series or the plate has been lost, stolen, or damaged, an applicant may obtain replacement plates containing the applicant’s previous plate number upon payment of the statutory fee.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0136C</w:t>
      </w:r>
      <w:r>
        <w:rPr>
          <w:rFonts w:ascii="Times New Roman" w:hAnsi="Times New Roman"/>
          <w:b w:val="false"/>
          <w:i w:val="false"/>
          <w:color w:val="000000"/>
          <w:sz w:val="16"/>
        </w:rPr>
        <w:t>, IAB 5/30/12, effective 7/4/12</w:t>
      </w:r>
      <w:r>
        <w:rPr>
          <w:rFonts w:ascii="Times New Roman" w:hAnsi="Times New Roman"/>
          <w:b w:val="false"/>
          <w:i w:val="false"/>
          <w:color w:val="000000"/>
          <w:sz w:val="16"/>
        </w:rPr>
        <w:t xml:space="preserve">; </w:t>
      </w:r>
      <w:r>
        <w:rPr>
          <w:rFonts w:ascii="Times New Roman" w:hAnsi="Times New Roman"/>
          <w:b/>
          <w:i w:val="false"/>
          <w:color w:val="000000"/>
          <w:sz w:val="16"/>
        </w:rPr>
        <w:t>ARC 0778C</w:t>
      </w:r>
      <w:r>
        <w:rPr>
          <w:rFonts w:ascii="Times New Roman" w:hAnsi="Times New Roman"/>
          <w:b w:val="false"/>
          <w:i w:val="false"/>
          <w:color w:val="000000"/>
          <w:sz w:val="16"/>
        </w:rPr>
        <w:t>, IAB 6/12/13, effective 7/17/13</w:t>
      </w:r>
      <w:r>
        <w:rPr>
          <w:rFonts w:ascii="Times New Roman" w:hAnsi="Times New Roman"/>
          <w:b w:val="false"/>
          <w:i w:val="false"/>
          <w:color w:val="000000"/>
          <w:sz w:val="16"/>
        </w:rPr>
        <w:t xml:space="preserve">; </w:t>
      </w:r>
      <w:r>
        <w:rPr>
          <w:rFonts w:ascii="Times New Roman" w:hAnsi="Times New Roman"/>
          <w:b/>
          <w:i w:val="false"/>
          <w:color w:val="000000"/>
          <w:sz w:val="16"/>
        </w:rPr>
        <w:t>ARC 3935C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 xml:space="preserve">; </w:t>
      </w:r>
      <w:r>
        <w:rPr>
          <w:rFonts w:ascii="Times New Roman" w:hAnsi="Times New Roman"/>
          <w:b/>
          <w:i w:val="false"/>
          <w:color w:val="000000"/>
          <w:sz w:val="16"/>
        </w:rPr>
        <w:t>ARC 4908C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761—401.11</w:t>
      </w:r>
      <w:r>
        <w:rPr>
          <w:rFonts w:ascii="Times New Roman" w:hAnsi="Times New Roman"/>
          <w:b/>
          <w:i w:val="false"/>
          <w:color w:val="000000"/>
          <w:sz w:val="22"/>
        </w:rPr>
        <w:t xml:space="preserve">(321) </w:t>
      </w:r>
      <w:r>
        <w:rPr>
          <w:rFonts w:ascii="Times New Roman" w:hAnsi="Times New Roman"/>
          <w:b/>
          <w:i w:val="false"/>
          <w:color w:val="000000"/>
          <w:sz w:val="22"/>
        </w:rPr>
        <w:t xml:space="preserve">Natural resources plates. </w:t>
      </w:r>
      <w:r>
        <w:rPr>
          <w:rFonts w:ascii="Times New Roman" w:hAnsi="Times New Roman"/>
          <w:b w:val="false"/>
          <w:i w:val="false"/>
          <w:color w:val="000000"/>
          <w:sz w:val="22"/>
        </w:rPr>
        <w:t xml:space="preserve">Letter-number designated natural resources plates are limited to five characters. Personalized natural resources plates shall consist of no less than two nor more than five characters and shall be issued in accordance with subrule </w:t>
      </w:r>
      <w:hyperlink r:id="rId14">
        <w:r>
          <w:rPr>
            <w:rStyle w:val="Hyperlink"/>
            <w:rFonts w:ascii="Times New Roman" w:hAnsi="Times New Roman"/>
            <w:b w:val="false"/>
            <w:i w:val="false"/>
            <w:color w:val="000000"/>
            <w:sz w:val="22"/>
          </w:rPr>
          <w:t>401.6(2), paragraphs </w:t>
        </w:r>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“d.”</w:t>
        </w:r>
      </w:hyperlink>
    </w:p>
    <w:p>
      <w:pPr>
        <w:spacing w:before="0" w:after="0"/>
        <w:ind w:left="120"/>
        <w:jc w:val="both"/>
      </w:pPr>
      <w:r>
        <w:rPr>
          <w:rFonts w:ascii="Times New Roman" w:hAnsi="Times New Roman"/>
          <w:b/>
          <w:i w:val="false"/>
          <w:color w:val="000000"/>
          <w:sz w:val="22"/>
        </w:rPr>
        <w:t>761—401.12</w:t>
      </w:r>
      <w:r>
        <w:rPr>
          <w:rFonts w:ascii="Times New Roman" w:hAnsi="Times New Roman"/>
          <w:b/>
          <w:i w:val="false"/>
          <w:color w:val="000000"/>
          <w:sz w:val="22"/>
        </w:rPr>
        <w:t xml:space="preserve">(321) </w:t>
      </w:r>
      <w:r>
        <w:rPr>
          <w:rFonts w:ascii="Times New Roman" w:hAnsi="Times New Roman"/>
          <w:b/>
          <w:i w:val="false"/>
          <w:color w:val="000000"/>
          <w:sz w:val="22"/>
        </w:rPr>
        <w:t xml:space="preserve">Blackout plates.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401.12(1)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Application for blackout plates shall be submitted to the department in a manner prescribed by the department. The applicant may request letter-number designated blackout plates or personalized blackout plates. Blackout plates are available for autocycles, motor trucks, motor homes, multipurpose vehicles, motorcycles, trailers and travel trailers.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401.12(2)</w:t>
      </w:r>
      <w:r>
        <w:rPr>
          <w:rFonts w:ascii="Times New Roman" w:hAnsi="Times New Roman"/>
          <w:b w:val="false"/>
          <w:i w:val="false"/>
          <w:color w:val="000000"/>
          <w:sz w:val="22"/>
        </w:rPr>
        <w:t> </w:t>
      </w:r>
      <w:r>
        <w:rPr>
          <w:rFonts w:ascii="Times New Roman" w:hAnsi="Times New Roman"/>
          <w:b w:val="false"/>
          <w:i/>
          <w:color w:val="000000"/>
          <w:sz w:val="22"/>
        </w:rPr>
        <w:t xml:space="preserve">Characters. </w:t>
      </w:r>
      <w:r>
        <w:rPr>
          <w:rFonts w:ascii="Times New Roman" w:hAnsi="Times New Roman"/>
          <w:b w:val="false"/>
          <w:i w:val="false"/>
          <w:color w:val="000000"/>
          <w:sz w:val="22"/>
        </w:rPr>
        <w:t>Personalized blackout plates shall be issued in accordance with subrule 401.6(2).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4908C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761—401.13</w:t>
      </w:r>
      <w:r>
        <w:rPr>
          <w:rFonts w:ascii="Times New Roman" w:hAnsi="Times New Roman"/>
          <w:b/>
          <w:i w:val="false"/>
          <w:color w:val="000000"/>
          <w:sz w:val="22"/>
        </w:rPr>
        <w:t xml:space="preserve">(321) </w:t>
      </w:r>
      <w:r>
        <w:rPr>
          <w:rFonts w:ascii="Times New Roman" w:hAnsi="Times New Roman"/>
          <w:b/>
          <w:i w:val="false"/>
          <w:color w:val="000000"/>
          <w:sz w:val="22"/>
        </w:rPr>
        <w:t xml:space="preserve">Disabled veteran plates.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401.13(1)</w:t>
      </w:r>
      <w:r>
        <w:rPr>
          <w:rFonts w:ascii="Times New Roman" w:hAnsi="Times New Roman"/>
          <w:b w:val="false"/>
          <w:i w:val="false"/>
          <w:color w:val="000000"/>
          <w:sz w:val="22"/>
        </w:rPr>
        <w:t> </w:t>
      </w:r>
      <w:r>
        <w:rPr>
          <w:rFonts w:ascii="Times New Roman" w:hAnsi="Times New Roman"/>
          <w:b w:val="false"/>
          <w:i w:val="false"/>
          <w:color w:val="000000"/>
          <w:sz w:val="22"/>
        </w:rPr>
        <w:t xml:space="preserve">Disabled veteran plates are issued in accordance with Iowa Code sections </w:t>
      </w:r>
      <w:hyperlink r:id="rId15">
        <w:r>
          <w:rPr>
            <w:rStyle w:val="Hyperlink"/>
            <w:rFonts w:ascii="Times New Roman" w:hAnsi="Times New Roman"/>
            <w:b w:val="false"/>
            <w:i w:val="false"/>
            <w:color w:val="000000"/>
            <w:sz w:val="22"/>
          </w:rPr>
          <w:t>321.34</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321.105</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321.166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401.13(2)</w:t>
      </w:r>
      <w:r>
        <w:rPr>
          <w:rFonts w:ascii="Times New Roman" w:hAnsi="Times New Roman"/>
          <w:b w:val="false"/>
          <w:i w:val="false"/>
          <w:color w:val="000000"/>
          <w:sz w:val="22"/>
        </w:rPr>
        <w:t> </w:t>
      </w:r>
      <w:r>
        <w:rPr>
          <w:rFonts w:ascii="Times New Roman" w:hAnsi="Times New Roman"/>
          <w:b w:val="false"/>
          <w:i w:val="false"/>
          <w:color w:val="000000"/>
          <w:sz w:val="22"/>
        </w:rPr>
        <w:t>To apply for disabled veteran plates for a motor vehicle, the disabled veteran shall submit to the county treasurer a certification from the U.S. Department of Veterans Affairs that the United States government has provided or has assisted in providing the motor vehicle to the disabled veteran. The certification is required when the motor vehicle is first registered. Another certification may be required for the first registration of a newly acquired vehicle or when the veteran moves to another county.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401.13(3)</w:t>
      </w:r>
      <w:r>
        <w:rPr>
          <w:rFonts w:ascii="Times New Roman" w:hAnsi="Times New Roman"/>
          <w:b w:val="false"/>
          <w:i w:val="false"/>
          <w:color w:val="000000"/>
          <w:sz w:val="22"/>
        </w:rPr>
        <w:t> </w:t>
      </w:r>
      <w:r>
        <w:rPr>
          <w:rFonts w:ascii="Times New Roman" w:hAnsi="Times New Roman"/>
          <w:b w:val="false"/>
          <w:i w:val="false"/>
          <w:color w:val="000000"/>
          <w:sz w:val="22"/>
        </w:rPr>
        <w:t>The disabled veteran plates shall be surrendered to the county treasurer in exchange for regular registration plates within 30 days after the death of the disabled veteran. The motor vehicle to which the plates are assigned shall become subject to the payment of regular registration fees on the first day of the month following the death of the disabled veteran. The registration fees shall be prorated for the remaining unexpired months of the registration year.</w:t>
      </w:r>
    </w:p>
    <w:p>
      <w:pPr>
        <w:spacing w:before="0" w:after="0"/>
        <w:ind w:left="120"/>
        <w:jc w:val="both"/>
      </w:pPr>
      <w:r>
        <w:rPr>
          <w:rFonts w:ascii="Times New Roman" w:hAnsi="Times New Roman"/>
          <w:b/>
          <w:i w:val="false"/>
          <w:color w:val="000000"/>
          <w:sz w:val="22"/>
        </w:rPr>
        <w:t>761—401.14</w:t>
      </w:r>
      <w:r>
        <w:rPr>
          <w:rFonts w:ascii="Times New Roman" w:hAnsi="Times New Roman"/>
          <w:b/>
          <w:i w:val="false"/>
          <w:color w:val="000000"/>
          <w:sz w:val="22"/>
        </w:rPr>
        <w:t xml:space="preserve">(321) </w:t>
      </w:r>
      <w:r>
        <w:rPr>
          <w:rFonts w:ascii="Times New Roman" w:hAnsi="Times New Roman"/>
          <w:b/>
          <w:i w:val="false"/>
          <w:color w:val="000000"/>
          <w:sz w:val="22"/>
        </w:rPr>
        <w:t xml:space="preserve">Flying our colors plates.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401.14(1)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Application for flying our colors plates shall be submitted to the department in a manner prescribed by the department. The applicant may request letter-number designated flying our colors plates or personalized flying our colors plates. Flying our colors plates are available for autocycles, motor trucks, motor homes, multipurpose vehicles, motorcycles, trailers and travel trailers.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401.14(2)</w:t>
      </w:r>
      <w:r>
        <w:rPr>
          <w:rFonts w:ascii="Times New Roman" w:hAnsi="Times New Roman"/>
          <w:b w:val="false"/>
          <w:i w:val="false"/>
          <w:color w:val="000000"/>
          <w:sz w:val="22"/>
        </w:rPr>
        <w:t> </w:t>
      </w:r>
      <w:r>
        <w:rPr>
          <w:rFonts w:ascii="Times New Roman" w:hAnsi="Times New Roman"/>
          <w:b w:val="false"/>
          <w:i/>
          <w:color w:val="000000"/>
          <w:sz w:val="22"/>
        </w:rPr>
        <w:t xml:space="preserve">Characters. </w:t>
      </w:r>
      <w:r>
        <w:rPr>
          <w:rFonts w:ascii="Times New Roman" w:hAnsi="Times New Roman"/>
          <w:b w:val="false"/>
          <w:i w:val="false"/>
          <w:color w:val="000000"/>
          <w:sz w:val="22"/>
        </w:rPr>
        <w:t xml:space="preserve">Personalized flying our colors plates shall be issued in accordance with </w:t>
      </w:r>
      <w:hyperlink r:id="rId18">
        <w:r>
          <w:rPr>
            <w:rStyle w:val="Hyperlink"/>
            <w:rFonts w:ascii="Times New Roman" w:hAnsi="Times New Roman"/>
            <w:b w:val="false"/>
            <w:i w:val="false"/>
            <w:color w:val="000000"/>
            <w:sz w:val="22"/>
          </w:rPr>
          <w:t>subrule 401.6(2)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5344C</w:t>
      </w:r>
      <w:r>
        <w:rPr>
          <w:rFonts w:ascii="Times New Roman" w:hAnsi="Times New Roman"/>
          <w:b w:val="false"/>
          <w:i w:val="false"/>
          <w:color w:val="000000"/>
          <w:sz w:val="16"/>
        </w:rPr>
        <w:t>, IAB 12/30/20, effective 2/3/21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761—401.15</w:t>
      </w:r>
      <w:r>
        <w:rPr>
          <w:rFonts w:ascii="Times New Roman" w:hAnsi="Times New Roman"/>
          <w:b/>
          <w:i w:val="false"/>
          <w:color w:val="000000"/>
          <w:sz w:val="22"/>
        </w:rPr>
        <w:t xml:space="preserve">(17A,321) </w:t>
      </w:r>
      <w:r>
        <w:rPr>
          <w:rFonts w:ascii="Times New Roman" w:hAnsi="Times New Roman"/>
          <w:b/>
          <w:i w:val="false"/>
          <w:color w:val="000000"/>
          <w:sz w:val="22"/>
        </w:rPr>
        <w:t xml:space="preserve">Nonprofit organization decal. </w:t>
      </w:r>
      <w:r>
        <w:rPr>
          <w:rFonts w:ascii="Times New Roman" w:hAnsi="Times New Roman"/>
          <w:b w:val="false"/>
          <w:i w:val="false"/>
          <w:color w:val="000000"/>
          <w:sz w:val="22"/>
        </w:rPr>
        <w:t xml:space="preserve">The following shall apply to all applications for an organization decal under Iowa Code section </w:t>
      </w:r>
      <w:hyperlink r:id="rId19">
        <w:r>
          <w:rPr>
            <w:rStyle w:val="Hyperlink"/>
            <w:rFonts w:ascii="Times New Roman" w:hAnsi="Times New Roman"/>
            <w:b w:val="false"/>
            <w:i w:val="false"/>
            <w:color w:val="000000"/>
            <w:sz w:val="22"/>
          </w:rPr>
          <w:t>321.34(13)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401.15(1)</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to request a new decal shall be submitted to the department on Form 411346. The application shall be subject to the requirements in Iowa Code section </w:t>
      </w:r>
      <w:hyperlink r:id="rId20">
        <w:r>
          <w:rPr>
            <w:rStyle w:val="Hyperlink"/>
            <w:rFonts w:ascii="Times New Roman" w:hAnsi="Times New Roman"/>
            <w:b w:val="false"/>
            <w:i w:val="false"/>
            <w:color w:val="000000"/>
            <w:sz w:val="22"/>
          </w:rPr>
          <w:t>321.34(13)</w:t>
        </w:r>
      </w:hyperlink>
      <w:r>
        <w:rPr>
          <w:rFonts w:ascii="Times New Roman" w:hAnsi="Times New Roman"/>
          <w:b w:val="false"/>
          <w:i w:val="false"/>
          <w:color w:val="000000"/>
          <w:sz w:val="22"/>
        </w:rPr>
        <w:t xml:space="preserve"> and shall include all of the information and documentation required by Iowa Code section </w:t>
      </w:r>
      <w:hyperlink r:id="rId21">
        <w:r>
          <w:rPr>
            <w:rStyle w:val="Hyperlink"/>
            <w:rFonts w:ascii="Times New Roman" w:hAnsi="Times New Roman"/>
            <w:b w:val="false"/>
            <w:i w:val="false"/>
            <w:color w:val="000000"/>
            <w:sz w:val="22"/>
          </w:rPr>
          <w:t>321.34(13)</w:t>
        </w:r>
      </w:hyperlink>
      <w:r>
        <w:rPr>
          <w:rFonts w:ascii="Times New Roman" w:hAnsi="Times New Roman"/>
          <w:b w:val="false"/>
          <w:i/>
          <w:color w:val="000000"/>
          <w:sz w:val="22"/>
        </w:rPr>
        <w:t>“c.”</w:t>
      </w:r>
      <w:r>
        <w:rPr>
          <w:rFonts w:ascii="Times New Roman" w:hAnsi="Times New Roman"/>
          <w:b w:val="false"/>
          <w:i w:val="false"/>
          <w:color w:val="000000"/>
          <w:sz w:val="22"/>
        </w:rPr>
        <w:t xml:space="preserve"> An organization applying for approval of a decal shall meet the criteria set forth in Iowa Code section </w:t>
      </w:r>
      <w:hyperlink r:id="rId22">
        <w:r>
          <w:rPr>
            <w:rStyle w:val="Hyperlink"/>
            <w:rFonts w:ascii="Times New Roman" w:hAnsi="Times New Roman"/>
            <w:b w:val="false"/>
            <w:i w:val="false"/>
            <w:color w:val="000000"/>
            <w:sz w:val="22"/>
          </w:rPr>
          <w:t>321.34(13)</w:t>
        </w:r>
      </w:hyperlink>
      <w:r>
        <w:rPr>
          <w:rFonts w:ascii="Times New Roman" w:hAnsi="Times New Roman"/>
          <w:b w:val="false"/>
          <w:i/>
          <w:color w:val="000000"/>
          <w:sz w:val="22"/>
        </w:rPr>
        <w:t>“b”</w:t>
      </w:r>
      <w:r>
        <w:rPr>
          <w:rFonts w:ascii="Times New Roman" w:hAnsi="Times New Roman"/>
          <w:b w:val="false"/>
          <w:i w:val="false"/>
          <w:color w:val="000000"/>
          <w:sz w:val="22"/>
        </w:rPr>
        <w:t xml:space="preserve">(1). A group of organizations applying for approval of a decal must have a common purpose as required by Iowa Code section </w:t>
      </w:r>
      <w:hyperlink r:id="rId23">
        <w:r>
          <w:rPr>
            <w:rStyle w:val="Hyperlink"/>
            <w:rFonts w:ascii="Times New Roman" w:hAnsi="Times New Roman"/>
            <w:b w:val="false"/>
            <w:i w:val="false"/>
            <w:color w:val="000000"/>
            <w:sz w:val="22"/>
          </w:rPr>
          <w:t>321.34(13)</w:t>
        </w:r>
      </w:hyperlink>
      <w:r>
        <w:rPr>
          <w:rFonts w:ascii="Times New Roman" w:hAnsi="Times New Roman"/>
          <w:b w:val="false"/>
          <w:i/>
          <w:color w:val="000000"/>
          <w:sz w:val="22"/>
        </w:rPr>
        <w:t>“b”</w:t>
      </w:r>
      <w:r>
        <w:rPr>
          <w:rFonts w:ascii="Times New Roman" w:hAnsi="Times New Roman"/>
          <w:b w:val="false"/>
          <w:i w:val="false"/>
          <w:color w:val="000000"/>
          <w:sz w:val="22"/>
        </w:rPr>
        <w:t xml:space="preserve">(2), and each organization within the group must meet the criteria set forth in Iowa Code section </w:t>
      </w:r>
      <w:hyperlink r:id="rId24">
        <w:r>
          <w:rPr>
            <w:rStyle w:val="Hyperlink"/>
            <w:rFonts w:ascii="Times New Roman" w:hAnsi="Times New Roman"/>
            <w:b w:val="false"/>
            <w:i w:val="false"/>
            <w:color w:val="000000"/>
            <w:sz w:val="22"/>
          </w:rPr>
          <w:t>321.34(13)</w:t>
        </w:r>
      </w:hyperlink>
      <w:r>
        <w:rPr>
          <w:rFonts w:ascii="Times New Roman" w:hAnsi="Times New Roman"/>
          <w:b w:val="false"/>
          <w:i/>
          <w:color w:val="000000"/>
          <w:sz w:val="22"/>
        </w:rPr>
        <w:t>“b”</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401.15(2)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proposed decal shall be designed to be placed in the space reserved for the placement of an organization decal and shall be limited to dimensions of 2.875ʺ in width and 3ʺ in height. As required by Iowa Code section </w:t>
      </w:r>
      <w:hyperlink r:id="rId25">
        <w:r>
          <w:rPr>
            <w:rStyle w:val="Hyperlink"/>
            <w:rFonts w:ascii="Times New Roman" w:hAnsi="Times New Roman"/>
            <w:b w:val="false"/>
            <w:i w:val="false"/>
            <w:color w:val="000000"/>
            <w:sz w:val="22"/>
          </w:rPr>
          <w:t>321.34(13)</w:t>
        </w:r>
      </w:hyperlink>
      <w:r>
        <w:rPr>
          <w:rFonts w:ascii="Times New Roman" w:hAnsi="Times New Roman"/>
          <w:b w:val="false"/>
          <w:i/>
          <w:color w:val="000000"/>
          <w:sz w:val="22"/>
        </w:rPr>
        <w:t>“d,”</w:t>
      </w:r>
      <w:r>
        <w:rPr>
          <w:rFonts w:ascii="Times New Roman" w:hAnsi="Times New Roman"/>
          <w:b w:val="false"/>
          <w:i w:val="false"/>
          <w:color w:val="000000"/>
          <w:sz w:val="22"/>
        </w:rPr>
        <w:t xml:space="preserve"> the proposed decal design shall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Promote a specific religion, faith or anti-religious sentiment.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any sexual connotation.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vulgar, prejudiced, hostile, insulting, or racially or ethnically degrading.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401.15(3)</w:t>
      </w:r>
      <w:r>
        <w:rPr>
          <w:rFonts w:ascii="Times New Roman" w:hAnsi="Times New Roman"/>
          <w:b w:val="false"/>
          <w:i w:val="false"/>
          <w:color w:val="000000"/>
          <w:sz w:val="22"/>
        </w:rPr>
        <w:t> </w:t>
      </w:r>
      <w:r>
        <w:rPr>
          <w:rFonts w:ascii="Times New Roman" w:hAnsi="Times New Roman"/>
          <w:b w:val="false"/>
          <w:i w:val="false"/>
          <w:color w:val="000000"/>
          <w:sz w:val="22"/>
        </w:rPr>
        <w:t>The vehicle and motor carrier services bureau may consult with other organizations, law enforcement authorities, and the general public concerning the decal design.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401.15(4)</w:t>
      </w:r>
      <w:r>
        <w:rPr>
          <w:rFonts w:ascii="Times New Roman" w:hAnsi="Times New Roman"/>
          <w:b w:val="false"/>
          <w:i w:val="false"/>
          <w:color w:val="000000"/>
          <w:sz w:val="22"/>
        </w:rPr>
        <w:t> </w:t>
      </w:r>
      <w:r>
        <w:rPr>
          <w:rFonts w:ascii="Times New Roman" w:hAnsi="Times New Roman"/>
          <w:b w:val="false"/>
          <w:i w:val="false"/>
          <w:color w:val="000000"/>
          <w:sz w:val="22"/>
        </w:rPr>
        <w:t>Within 60 days after receiving the application, the vehicle and motor carrier services bureau shall advise the organization of the department’s approval or denial of the application. The department reserves the right to approve or disapprove any decal design.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401.15(5)</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decal is approved and at a later date it is determined that a false application was submitted, or a violation of Iowa Code section </w:t>
      </w:r>
      <w:hyperlink r:id="rId26">
        <w:r>
          <w:rPr>
            <w:rStyle w:val="Hyperlink"/>
            <w:rFonts w:ascii="Times New Roman" w:hAnsi="Times New Roman"/>
            <w:b w:val="false"/>
            <w:i w:val="false"/>
            <w:color w:val="000000"/>
            <w:sz w:val="22"/>
          </w:rPr>
          <w:t>321.34(13)</w:t>
        </w:r>
      </w:hyperlink>
      <w:r>
        <w:rPr>
          <w:rFonts w:ascii="Times New Roman" w:hAnsi="Times New Roman"/>
          <w:b w:val="false"/>
          <w:i w:val="false"/>
          <w:color w:val="000000"/>
          <w:sz w:val="22"/>
        </w:rPr>
        <w:t xml:space="preserve"> or this chapter occurred, the department shall revoke the decal and the organization shall no longer issue the decal.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401.15(6)</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department denies or revokes the decal design, the department shall send notice of the denial or revocation by certified mail to the organization at the address listed on the application. The revocation or denial shall become effective 20 days from the date of mailing. The organization may contest the decision of the department in accordance with </w:t>
      </w:r>
      <w:hyperlink r:id="rId27">
        <w:r>
          <w:rPr>
            <w:rStyle w:val="Hyperlink"/>
            <w:rFonts w:ascii="Times New Roman" w:hAnsi="Times New Roman"/>
            <w:b w:val="false"/>
            <w:i w:val="false"/>
            <w:color w:val="000000"/>
            <w:sz w:val="22"/>
          </w:rPr>
          <w:t>761—Chapter 13</w:t>
        </w:r>
      </w:hyperlink>
      <w:r>
        <w:rPr>
          <w:rFonts w:ascii="Times New Roman" w:hAnsi="Times New Roman"/>
          <w:b w:val="false"/>
          <w:i w:val="false"/>
          <w:color w:val="000000"/>
          <w:sz w:val="22"/>
        </w:rPr>
        <w:t>. The request shall be deemed timely if it is delivered or postmarked on or before the effective date specified in the notice.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9048B</w:t>
      </w:r>
      <w:r>
        <w:rPr>
          <w:rFonts w:ascii="Times New Roman" w:hAnsi="Times New Roman"/>
          <w:b w:val="false"/>
          <w:i w:val="false"/>
          <w:color w:val="000000"/>
          <w:sz w:val="16"/>
        </w:rPr>
        <w:t>, IAB 9/8/10, effective 10/13/10</w:t>
      </w:r>
      <w:r>
        <w:rPr>
          <w:rFonts w:ascii="Times New Roman" w:hAnsi="Times New Roman"/>
          <w:b w:val="false"/>
          <w:i w:val="false"/>
          <w:color w:val="000000"/>
          <w:sz w:val="16"/>
        </w:rPr>
        <w:t xml:space="preserve">; </w:t>
      </w:r>
      <w:r>
        <w:rPr>
          <w:rFonts w:ascii="Times New Roman" w:hAnsi="Times New Roman"/>
          <w:b/>
          <w:i w:val="false"/>
          <w:color w:val="000000"/>
          <w:sz w:val="16"/>
        </w:rPr>
        <w:t>ARC 3935C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 xml:space="preserve">; </w:t>
      </w:r>
      <w:r>
        <w:rPr>
          <w:rFonts w:ascii="Times New Roman" w:hAnsi="Times New Roman"/>
          <w:b/>
          <w:i w:val="false"/>
          <w:color w:val="000000"/>
          <w:sz w:val="16"/>
        </w:rPr>
        <w:t>ARC 4908C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761—401.16</w:t>
      </w:r>
      <w:r>
        <w:rPr>
          <w:rFonts w:ascii="Times New Roman" w:hAnsi="Times New Roman"/>
          <w:b/>
          <w:i w:val="false"/>
          <w:color w:val="000000"/>
          <w:sz w:val="22"/>
        </w:rPr>
        <w:t xml:space="preserve">(17A,321) </w:t>
      </w:r>
      <w:r>
        <w:rPr>
          <w:rFonts w:ascii="Times New Roman" w:hAnsi="Times New Roman"/>
          <w:b/>
          <w:i w:val="false"/>
          <w:color w:val="000000"/>
          <w:sz w:val="22"/>
        </w:rPr>
        <w:t xml:space="preserve">Special plates with space reserved for a nonprofit organization decal.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401.16(1)</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for special plates with space reserved for an organization decal shall be subject to the requirements in Iowa Code section </w:t>
      </w:r>
      <w:hyperlink r:id="rId28">
        <w:r>
          <w:rPr>
            <w:rStyle w:val="Hyperlink"/>
            <w:rFonts w:ascii="Times New Roman" w:hAnsi="Times New Roman"/>
            <w:b w:val="false"/>
            <w:i w:val="false"/>
            <w:color w:val="000000"/>
            <w:sz w:val="22"/>
          </w:rPr>
          <w:t>321.34(13)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401.16(2)</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shall obtain the decal to display on the special registration plate from an organization approved by the department. A person shall not display a decal on a vehicle registration plate other than a decal approved by the department. An approved decal shall only be affixed to and displayed in the space reserved for placement of the organization decal on the registration plate.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401.16(3)</w:t>
      </w:r>
      <w:r>
        <w:rPr>
          <w:rFonts w:ascii="Times New Roman" w:hAnsi="Times New Roman"/>
          <w:b w:val="false"/>
          <w:i w:val="false"/>
          <w:color w:val="000000"/>
          <w:sz w:val="22"/>
        </w:rPr>
        <w:t> </w:t>
      </w:r>
      <w:r>
        <w:rPr>
          <w:rFonts w:ascii="Times New Roman" w:hAnsi="Times New Roman"/>
          <w:b w:val="false"/>
          <w:i w:val="false"/>
          <w:color w:val="000000"/>
          <w:sz w:val="22"/>
        </w:rPr>
        <w:t>Personalized special plates with space reserved for an organization decal shall be limited to no more than five initials, letters, or combinations of numerals and letters.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3935C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761—401.17</w:t>
      </w:r>
      <w:r>
        <w:rPr>
          <w:rFonts w:ascii="Times New Roman" w:hAnsi="Times New Roman"/>
          <w:b/>
          <w:i w:val="false"/>
          <w:color w:val="000000"/>
          <w:sz w:val="22"/>
        </w:rPr>
        <w:t xml:space="preserve">(321) </w:t>
      </w:r>
      <w:r>
        <w:rPr>
          <w:rFonts w:ascii="Times New Roman" w:hAnsi="Times New Roman"/>
          <w:b/>
          <w:i w:val="false"/>
          <w:color w:val="000000"/>
          <w:sz w:val="22"/>
        </w:rPr>
        <w:t xml:space="preserve">State agency-sponsored processed emblem plates. </w:t>
      </w:r>
      <w:r>
        <w:rPr>
          <w:rFonts w:ascii="Times New Roman" w:hAnsi="Times New Roman"/>
          <w:b w:val="false"/>
          <w:i w:val="false"/>
          <w:color w:val="000000"/>
          <w:sz w:val="22"/>
        </w:rPr>
        <w:t xml:space="preserve">Rescinded </w:t>
      </w:r>
      <w:r>
        <w:rPr>
          <w:rFonts w:ascii="Times New Roman" w:hAnsi="Times New Roman"/>
          <w:b/>
          <w:i w:val="false"/>
          <w:color w:val="000000"/>
          <w:sz w:val="22"/>
        </w:rPr>
        <w:t>ARC 3935C</w:t>
      </w:r>
      <w:r>
        <w:rPr>
          <w:rFonts w:ascii="Times New Roman" w:hAnsi="Times New Roman"/>
          <w:b w:val="false"/>
          <w:i w:val="false"/>
          <w:color w:val="000000"/>
          <w:sz w:val="22"/>
        </w:rPr>
        <w:t xml:space="preserve">, </w:t>
      </w:r>
      <w:r>
        <w:rPr>
          <w:rFonts w:ascii="Times New Roman" w:hAnsi="Times New Roman"/>
          <w:b w:val="false"/>
          <w:i w:val="false"/>
          <w:color w:val="000000"/>
          <w:sz w:val="22"/>
        </w:rPr>
        <w:t>IAB 8/1/18</w:t>
      </w:r>
      <w:r>
        <w:rPr>
          <w:rFonts w:ascii="Times New Roman" w:hAnsi="Times New Roman"/>
          <w:b w:val="false"/>
          <w:i w:val="false"/>
          <w:color w:val="000000"/>
          <w:sz w:val="22"/>
        </w:rPr>
        <w:t xml:space="preserve">, effective 9/5/18. </w:t>
      </w:r>
    </w:p>
    <w:p>
      <w:pPr>
        <w:spacing w:before="0" w:after="0"/>
        <w:ind w:left="120"/>
        <w:jc w:val="both"/>
      </w:pPr>
      <w:r>
        <w:rPr>
          <w:rFonts w:ascii="Times New Roman" w:hAnsi="Times New Roman"/>
          <w:b/>
          <w:i w:val="false"/>
          <w:color w:val="000000"/>
          <w:sz w:val="22"/>
        </w:rPr>
        <w:t>761—401.18</w:t>
      </w:r>
      <w:r>
        <w:rPr>
          <w:rFonts w:ascii="Times New Roman" w:hAnsi="Times New Roman"/>
          <w:b/>
          <w:i w:val="false"/>
          <w:color w:val="000000"/>
          <w:sz w:val="22"/>
        </w:rPr>
        <w:t xml:space="preserve">(321) </w:t>
      </w:r>
      <w:r>
        <w:rPr>
          <w:rFonts w:ascii="Times New Roman" w:hAnsi="Times New Roman"/>
          <w:b/>
          <w:i w:val="false"/>
          <w:color w:val="000000"/>
          <w:sz w:val="22"/>
        </w:rPr>
        <w:t xml:space="preserve">Combat infantryman badge, combat action badge, combat action ribbon, air force combat action medal, combat medical badge, fallen peace officers and civil war sesquicentennial plates. </w:t>
      </w:r>
      <w:r>
        <w:rPr>
          <w:rFonts w:ascii="Times New Roman" w:hAnsi="Times New Roman"/>
          <w:b w:val="false"/>
          <w:i w:val="false"/>
          <w:color w:val="000000"/>
          <w:sz w:val="22"/>
        </w:rPr>
        <w:t xml:space="preserve">Following is the application and approval process for special plate requests under Iowa Code section </w:t>
      </w:r>
      <w:hyperlink r:id="rId29">
        <w:r>
          <w:rPr>
            <w:rStyle w:val="Hyperlink"/>
            <w:rFonts w:ascii="Times New Roman" w:hAnsi="Times New Roman"/>
            <w:b w:val="false"/>
            <w:i w:val="false"/>
            <w:color w:val="000000"/>
            <w:sz w:val="22"/>
          </w:rPr>
          <w:t>321.34(20C)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401.18(1)</w:t>
      </w:r>
      <w:r>
        <w:rPr>
          <w:rFonts w:ascii="Times New Roman" w:hAnsi="Times New Roman"/>
          <w:b w:val="false"/>
          <w:i w:val="false"/>
          <w:color w:val="000000"/>
          <w:sz w:val="22"/>
        </w:rPr>
        <w:t> </w:t>
      </w:r>
      <w:r>
        <w:rPr>
          <w:rFonts w:ascii="Times New Roman" w:hAnsi="Times New Roman"/>
          <w:b w:val="false"/>
          <w:i/>
          <w:color w:val="000000"/>
          <w:sz w:val="22"/>
        </w:rPr>
        <w:t xml:space="preserve">Design.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plates shall be a standard background plate with a distinguishing processed emblem specific to each plate type.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distinguishing processed emblem shall be limited to 2.875ʺ × 3ʺ on the registration plate.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distinguishing processed emblem owned or subject to legal rights of another person will not be used unless the department receives certification from the person that allows use of the emblem. The certification must include a statement holding the department harmless for using the emblem on a registration plate.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vehicle and motor carrier services bureau may consult with other organizations, law enforcement authorities, and the general public concerning distinguishing processed emblems.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401.18(2)</w:t>
      </w:r>
      <w:r>
        <w:rPr>
          <w:rFonts w:ascii="Times New Roman" w:hAnsi="Times New Roman"/>
          <w:b w:val="false"/>
          <w:i w:val="false"/>
          <w:color w:val="000000"/>
          <w:sz w:val="22"/>
        </w:rPr>
        <w:t> </w:t>
      </w:r>
      <w:r>
        <w:rPr>
          <w:rFonts w:ascii="Times New Roman" w:hAnsi="Times New Roman"/>
          <w:b w:val="false"/>
          <w:i/>
          <w:color w:val="000000"/>
          <w:sz w:val="22"/>
        </w:rPr>
        <w:t xml:space="preserve">Production. </w:t>
      </w:r>
      <w:r>
        <w:rPr>
          <w:rFonts w:ascii="Times New Roman" w:hAnsi="Times New Roman"/>
          <w:b w:val="false"/>
          <w:i w:val="false"/>
          <w:color w:val="000000"/>
          <w:sz w:val="22"/>
        </w:rPr>
        <w:t>None of the special registration plates subject to this rule will be manufactured or issued until 250 paid applications are submitted to the department. This minimum order requirement applies to each of the special registration plates subject to this rule. Each application must be accompanied by a statutory start-up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401.18(3)</w:t>
      </w:r>
      <w:r>
        <w:rPr>
          <w:rFonts w:ascii="Times New Roman" w:hAnsi="Times New Roman"/>
          <w:b w:val="false"/>
          <w:i w:val="false"/>
          <w:color w:val="000000"/>
          <w:sz w:val="22"/>
        </w:rPr>
        <w:t> </w:t>
      </w:r>
      <w:r>
        <w:rPr>
          <w:rFonts w:ascii="Times New Roman" w:hAnsi="Times New Roman"/>
          <w:b w:val="false"/>
          <w:i/>
          <w:color w:val="000000"/>
          <w:sz w:val="22"/>
        </w:rPr>
        <w:t xml:space="preserve">Discontinuance. </w:t>
      </w:r>
      <w:r>
        <w:rPr>
          <w:rFonts w:ascii="Times New Roman" w:hAnsi="Times New Roman"/>
          <w:b w:val="false"/>
          <w:i w:val="false"/>
          <w:color w:val="000000"/>
          <w:sz w:val="22"/>
        </w:rPr>
        <w:t>If 250 paid applications for any special registration plate subject to this rule are not submitted within one year after the date the department makes the plate available for application, the department shall report that fact to the legislature at the next regular session of the general assembly and request authority to discontinue the special registration plate.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401.18(4)</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Applications for either letter-number designated or personalized combat infantryman badge, combat action badge, combat action ribbon, air force combat action medal, or combat medical badge special registration plates shall be submitted to the department in a manner prescribed by the department. The applicant shall attach to the application a copy of an official government document verifying award of the combat infantryman badge, combat action badge, combat action ribbon, air force combat action medal or combat medical badge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Applications for letter-number designated civil war sesquicentennial or fallen peace officers special registration plates shall be submitted to the county treasurer.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Applications for personalized civil war sesquicentennial or fallen peace officers special registration plates shall be submitted to the department in a manner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401.18(5)</w:t>
      </w:r>
      <w:r>
        <w:rPr>
          <w:rFonts w:ascii="Times New Roman" w:hAnsi="Times New Roman"/>
          <w:b w:val="false"/>
          <w:i w:val="false"/>
          <w:color w:val="000000"/>
          <w:sz w:val="22"/>
        </w:rPr>
        <w:t> </w:t>
      </w:r>
      <w:r>
        <w:rPr>
          <w:rFonts w:ascii="Times New Roman" w:hAnsi="Times New Roman"/>
          <w:b w:val="false"/>
          <w:i/>
          <w:color w:val="000000"/>
          <w:sz w:val="22"/>
        </w:rPr>
        <w:t xml:space="preserve">Characters. </w:t>
      </w:r>
      <w:r>
        <w:rPr>
          <w:rFonts w:ascii="Times New Roman" w:hAnsi="Times New Roman"/>
          <w:b w:val="false"/>
          <w:i w:val="false"/>
          <w:color w:val="000000"/>
          <w:sz w:val="22"/>
        </w:rPr>
        <w:t xml:space="preserve">Plates are limited to five characters. Personalized plates shall consist of no less than two nor more than five characters and shall be issued in accordance with subrule </w:t>
      </w:r>
      <w:hyperlink r:id="rId30">
        <w:r>
          <w:rPr>
            <w:rStyle w:val="Hyperlink"/>
            <w:rFonts w:ascii="Times New Roman" w:hAnsi="Times New Roman"/>
            <w:b w:val="false"/>
            <w:i w:val="false"/>
            <w:color w:val="000000"/>
            <w:sz w:val="22"/>
          </w:rPr>
          <w:t>401.6(2), paragraphs </w:t>
        </w:r>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401.18(6)</w:t>
      </w:r>
      <w:r>
        <w:rPr>
          <w:rFonts w:ascii="Times New Roman" w:hAnsi="Times New Roman"/>
          <w:b w:val="false"/>
          <w:i w:val="false"/>
          <w:color w:val="000000"/>
          <w:sz w:val="22"/>
        </w:rPr>
        <w:t> </w:t>
      </w:r>
      <w:r>
        <w:rPr>
          <w:rFonts w:ascii="Times New Roman" w:hAnsi="Times New Roman"/>
          <w:b w:val="false"/>
          <w:i/>
          <w:color w:val="000000"/>
          <w:sz w:val="22"/>
        </w:rPr>
        <w:t xml:space="preserve">Right of approval. </w:t>
      </w:r>
      <w:r>
        <w:rPr>
          <w:rFonts w:ascii="Times New Roman" w:hAnsi="Times New Roman"/>
          <w:b w:val="false"/>
          <w:i w:val="false"/>
          <w:color w:val="000000"/>
          <w:sz w:val="22"/>
        </w:rPr>
        <w:t>The department reserves the right to approve or disapprove any application.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9833B</w:t>
      </w:r>
      <w:r>
        <w:rPr>
          <w:rFonts w:ascii="Times New Roman" w:hAnsi="Times New Roman"/>
          <w:b w:val="false"/>
          <w:i w:val="false"/>
          <w:color w:val="000000"/>
          <w:sz w:val="16"/>
        </w:rPr>
        <w:t>, IAB 11/2/11, effective 12/7/11</w:t>
      </w:r>
      <w:r>
        <w:rPr>
          <w:rFonts w:ascii="Times New Roman" w:hAnsi="Times New Roman"/>
          <w:b w:val="false"/>
          <w:i w:val="false"/>
          <w:color w:val="000000"/>
          <w:sz w:val="16"/>
        </w:rPr>
        <w:t xml:space="preserve">; </w:t>
      </w:r>
      <w:r>
        <w:rPr>
          <w:rFonts w:ascii="Times New Roman" w:hAnsi="Times New Roman"/>
          <w:b/>
          <w:i w:val="false"/>
          <w:color w:val="000000"/>
          <w:sz w:val="16"/>
        </w:rPr>
        <w:t>ARC 3935C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 xml:space="preserve">; </w:t>
      </w:r>
      <w:r>
        <w:rPr>
          <w:rFonts w:ascii="Times New Roman" w:hAnsi="Times New Roman"/>
          <w:b/>
          <w:i w:val="false"/>
          <w:color w:val="000000"/>
          <w:sz w:val="16"/>
        </w:rPr>
        <w:t>ARC 4908C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761—401.19</w:t>
      </w:r>
      <w:r>
        <w:rPr>
          <w:rFonts w:ascii="Times New Roman" w:hAnsi="Times New Roman"/>
          <w:b/>
          <w:i w:val="false"/>
          <w:color w:val="000000"/>
          <w:sz w:val="22"/>
        </w:rPr>
        <w:t xml:space="preserve">(321) </w:t>
      </w:r>
      <w:r>
        <w:rPr>
          <w:rFonts w:ascii="Times New Roman" w:hAnsi="Times New Roman"/>
          <w:b/>
          <w:i w:val="false"/>
          <w:color w:val="000000"/>
          <w:sz w:val="22"/>
        </w:rPr>
        <w:t xml:space="preserve">Legion of Merit plates. </w:t>
      </w:r>
      <w:r>
        <w:rPr>
          <w:rFonts w:ascii="Times New Roman" w:hAnsi="Times New Roman"/>
          <w:b w:val="false"/>
          <w:i w:val="false"/>
          <w:color w:val="000000"/>
          <w:sz w:val="22"/>
        </w:rPr>
        <w:t xml:space="preserve">Application for special plates with a Legion of Merit processed emblem shall be submitted to the department in a manner prescribed by the department. The applicant shall attach a copy of the official government document verifying receipt of the Legion of Merit. Personalized plates with a Legion of Merit processed emblem are not available. Pursuant to Iowa Code section </w:t>
      </w:r>
      <w:hyperlink r:id="rId31">
        <w:r>
          <w:rPr>
            <w:rStyle w:val="Hyperlink"/>
            <w:rFonts w:ascii="Times New Roman" w:hAnsi="Times New Roman"/>
            <w:b w:val="false"/>
            <w:i w:val="false"/>
            <w:color w:val="000000"/>
            <w:sz w:val="22"/>
          </w:rPr>
          <w:t>321.34</w:t>
        </w:r>
      </w:hyperlink>
      <w:r>
        <w:rPr>
          <w:rFonts w:ascii="Times New Roman" w:hAnsi="Times New Roman"/>
          <w:b w:val="false"/>
          <w:i w:val="false"/>
          <w:color w:val="000000"/>
          <w:sz w:val="22"/>
        </w:rPr>
        <w:t>, an applicant is eligible for one set of Legion of Merit plates at a reduced annual registration fee of $15 for one vehicle owned. However, an applicant may obtain additional Legion of Merit plates upon payment of the regular annual registration fee.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9048B</w:t>
      </w:r>
      <w:r>
        <w:rPr>
          <w:rFonts w:ascii="Times New Roman" w:hAnsi="Times New Roman"/>
          <w:b w:val="false"/>
          <w:i w:val="false"/>
          <w:color w:val="000000"/>
          <w:sz w:val="16"/>
        </w:rPr>
        <w:t>, IAB 9/8/10, effective 10/13/10</w:t>
      </w:r>
      <w:r>
        <w:rPr>
          <w:rFonts w:ascii="Times New Roman" w:hAnsi="Times New Roman"/>
          <w:b w:val="false"/>
          <w:i w:val="false"/>
          <w:color w:val="000000"/>
          <w:sz w:val="16"/>
        </w:rPr>
        <w:t xml:space="preserve">; </w:t>
      </w:r>
      <w:r>
        <w:rPr>
          <w:rFonts w:ascii="Times New Roman" w:hAnsi="Times New Roman"/>
          <w:b/>
          <w:i w:val="false"/>
          <w:color w:val="000000"/>
          <w:sz w:val="16"/>
        </w:rPr>
        <w:t>ARC 4908C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761—401.20</w:t>
      </w:r>
      <w:r>
        <w:rPr>
          <w:rFonts w:ascii="Times New Roman" w:hAnsi="Times New Roman"/>
          <w:b/>
          <w:i w:val="false"/>
          <w:color w:val="000000"/>
          <w:sz w:val="22"/>
        </w:rPr>
        <w:t xml:space="preserve">(321) </w:t>
      </w:r>
      <w:r>
        <w:rPr>
          <w:rFonts w:ascii="Times New Roman" w:hAnsi="Times New Roman"/>
          <w:b/>
          <w:i w:val="false"/>
          <w:color w:val="000000"/>
          <w:sz w:val="22"/>
        </w:rPr>
        <w:t xml:space="preserve">Persons with disabilities plates.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401.20(1)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Application for special plates with a persons with disabilities processed emblem shall be submitted to the county treasurer in a manner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shall comply with the requirements of 761—subrule 411.3(2) and shall certify that the owner or the owner’s child is a person with a disability, as defined in Iowa Code section </w:t>
      </w:r>
      <w:hyperlink r:id="rId32">
        <w:r>
          <w:rPr>
            <w:rStyle w:val="Hyperlink"/>
            <w:rFonts w:ascii="Times New Roman" w:hAnsi="Times New Roman"/>
            <w:b w:val="false"/>
            <w:i w:val="false"/>
            <w:color w:val="000000"/>
            <w:sz w:val="22"/>
          </w:rPr>
          <w:t>321L.1</w:t>
        </w:r>
      </w:hyperlink>
      <w:r>
        <w:rPr>
          <w:rFonts w:ascii="Times New Roman" w:hAnsi="Times New Roman"/>
          <w:b w:val="false"/>
          <w:i w:val="false"/>
          <w:color w:val="000000"/>
          <w:sz w:val="22"/>
        </w:rPr>
        <w:t>, and that the disability is permanent.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person with a disability is a child, the parent or guardian shall complete the proof of residency certification on the application or complete and submit a separate proof of residency Form 411120, certifying that the child resides with the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lieu of submitting the statement of disability required in 761—subrule 411.3(2), an individual who is eligible for disabled veteran plates but has not been issued them may submit certification from the U.S. Department of Veterans Affairs that the United States government has provided or assisted in providing a motor vehicle to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401.20(2)</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w:t>
      </w:r>
      <w:r>
        <w:rPr>
          <w:rFonts w:ascii="Times New Roman" w:hAnsi="Times New Roman"/>
          <w:b w:val="false"/>
          <w:i w:val="false"/>
          <w:color w:val="000000"/>
          <w:sz w:val="22"/>
        </w:rPr>
        <w:t>includes, but is not limited to, stepchild, foster child, or legally adopted child who is younger than 18 years of age, or a dependent person 18 years of age or older who is unable to maintain the person’s self.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401.20(3)</w:t>
      </w:r>
      <w:r>
        <w:rPr>
          <w:rFonts w:ascii="Times New Roman" w:hAnsi="Times New Roman"/>
          <w:b w:val="false"/>
          <w:i w:val="false"/>
          <w:color w:val="000000"/>
          <w:sz w:val="22"/>
        </w:rPr>
        <w:t> </w:t>
      </w:r>
      <w:r>
        <w:rPr>
          <w:rFonts w:ascii="Times New Roman" w:hAnsi="Times New Roman"/>
          <w:b w:val="false"/>
          <w:i/>
          <w:color w:val="000000"/>
          <w:sz w:val="22"/>
        </w:rPr>
        <w:t xml:space="preserve">Renewal. </w:t>
      </w:r>
      <w:r>
        <w:rPr>
          <w:rFonts w:ascii="Times New Roman" w:hAnsi="Times New Roman"/>
          <w:b w:val="false"/>
          <w:i w:val="false"/>
          <w:color w:val="000000"/>
          <w:sz w:val="22"/>
        </w:rPr>
        <w:t>The owner shall, at renewal time, submit a persons with disabilities parking permit application pursuant to rule 761—411.3(321L) that includes all required documentation and shows the owner or the owner’s child remains permanently disabled and has a continuing need for the plates.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0136C</w:t>
      </w:r>
      <w:r>
        <w:rPr>
          <w:rFonts w:ascii="Times New Roman" w:hAnsi="Times New Roman"/>
          <w:b w:val="false"/>
          <w:i w:val="false"/>
          <w:color w:val="000000"/>
          <w:sz w:val="16"/>
        </w:rPr>
        <w:t>, IAB 5/30/12, effective 7/4/12</w:t>
      </w:r>
      <w:r>
        <w:rPr>
          <w:rFonts w:ascii="Times New Roman" w:hAnsi="Times New Roman"/>
          <w:b w:val="false"/>
          <w:i w:val="false"/>
          <w:color w:val="000000"/>
          <w:sz w:val="16"/>
        </w:rPr>
        <w:t xml:space="preserve">; </w:t>
      </w:r>
      <w:r>
        <w:rPr>
          <w:rFonts w:ascii="Times New Roman" w:hAnsi="Times New Roman"/>
          <w:b/>
          <w:i w:val="false"/>
          <w:color w:val="000000"/>
          <w:sz w:val="16"/>
        </w:rPr>
        <w:t>ARC 3450C</w:t>
      </w:r>
      <w:r>
        <w:rPr>
          <w:rFonts w:ascii="Times New Roman" w:hAnsi="Times New Roman"/>
          <w:b w:val="false"/>
          <w:i w:val="false"/>
          <w:color w:val="000000"/>
          <w:sz w:val="16"/>
        </w:rPr>
        <w:t>, IAB 11/8/17, effective 12/13/17</w:t>
      </w:r>
      <w:r>
        <w:rPr>
          <w:rFonts w:ascii="Times New Roman" w:hAnsi="Times New Roman"/>
          <w:b w:val="false"/>
          <w:i w:val="false"/>
          <w:color w:val="000000"/>
          <w:sz w:val="16"/>
        </w:rPr>
        <w:t xml:space="preserve">; </w:t>
      </w:r>
      <w:r>
        <w:rPr>
          <w:rFonts w:ascii="Times New Roman" w:hAnsi="Times New Roman"/>
          <w:b/>
          <w:i w:val="false"/>
          <w:color w:val="000000"/>
          <w:sz w:val="16"/>
        </w:rPr>
        <w:t>ARC 4908C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761—401.21</w:t>
      </w:r>
      <w:r>
        <w:rPr>
          <w:rFonts w:ascii="Times New Roman" w:hAnsi="Times New Roman"/>
          <w:b/>
          <w:i w:val="false"/>
          <w:color w:val="000000"/>
          <w:sz w:val="22"/>
        </w:rPr>
        <w:t xml:space="preserve">(321) </w:t>
      </w:r>
      <w:r>
        <w:rPr>
          <w:rFonts w:ascii="Times New Roman" w:hAnsi="Times New Roman"/>
          <w:b/>
          <w:i w:val="false"/>
          <w:color w:val="000000"/>
          <w:sz w:val="22"/>
        </w:rPr>
        <w:t xml:space="preserve">Ex-prisoner of war plates.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401.21(1)</w:t>
      </w:r>
      <w:r>
        <w:rPr>
          <w:rFonts w:ascii="Times New Roman" w:hAnsi="Times New Roman"/>
          <w:b w:val="false"/>
          <w:i w:val="false"/>
          <w:color w:val="000000"/>
          <w:sz w:val="22"/>
        </w:rPr>
        <w:t> </w:t>
      </w:r>
      <w:r>
        <w:rPr>
          <w:rFonts w:ascii="Times New Roman" w:hAnsi="Times New Roman"/>
          <w:b w:val="false"/>
          <w:i w:val="false"/>
          <w:color w:val="000000"/>
          <w:sz w:val="22"/>
        </w:rPr>
        <w:t>Application for special plates with an ex-prisoner of war processed emblem shall be submitted to the department in a manner prescribed by the department. The applicant shall attach a copy of an official government document verifying that the applicant was a prisoner of war. If the document is not available, a person who has knowledge that the applicant was a prisoner of war shall sign a statement to that effect on the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401.21(2)</w:t>
      </w:r>
      <w:r>
        <w:rPr>
          <w:rFonts w:ascii="Times New Roman" w:hAnsi="Times New Roman"/>
          <w:b w:val="false"/>
          <w:i w:val="false"/>
          <w:color w:val="000000"/>
          <w:sz w:val="22"/>
        </w:rPr>
        <w:t> </w:t>
      </w:r>
      <w:r>
        <w:rPr>
          <w:rFonts w:ascii="Times New Roman" w:hAnsi="Times New Roman"/>
          <w:b w:val="false"/>
          <w:i w:val="false"/>
          <w:color w:val="000000"/>
          <w:sz w:val="22"/>
        </w:rPr>
        <w:t>The surviving spouse of a person who was issued ex-prisoner of war plates may continue to use or apply for the plates. If the surviving spouse remarries, the surviving spouse shall surrender the plates to the county treasurer in exchange for regular registration plates within 30 days after the date on the marriage certificate. Ex-prisoner of war plates may not be reissued once this event occurs.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401.21(3)</w:t>
      </w:r>
      <w:r>
        <w:rPr>
          <w:rFonts w:ascii="Times New Roman" w:hAnsi="Times New Roman"/>
          <w:b w:val="false"/>
          <w:i w:val="false"/>
          <w:color w:val="000000"/>
          <w:sz w:val="22"/>
        </w:rPr>
        <w:t> </w:t>
      </w:r>
      <w:r>
        <w:rPr>
          <w:rFonts w:ascii="Times New Roman" w:hAnsi="Times New Roman"/>
          <w:b w:val="false"/>
          <w:i w:val="false"/>
          <w:color w:val="000000"/>
          <w:sz w:val="22"/>
        </w:rPr>
        <w:t>Personalized plates with an ex-prisoner of war processed emblem are not available.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4908C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761—401.22</w:t>
      </w:r>
      <w:r>
        <w:rPr>
          <w:rFonts w:ascii="Times New Roman" w:hAnsi="Times New Roman"/>
          <w:b/>
          <w:i w:val="false"/>
          <w:color w:val="000000"/>
          <w:sz w:val="22"/>
        </w:rPr>
        <w:t xml:space="preserve">(321) </w:t>
      </w:r>
      <w:r>
        <w:rPr>
          <w:rFonts w:ascii="Times New Roman" w:hAnsi="Times New Roman"/>
          <w:b/>
          <w:i w:val="false"/>
          <w:color w:val="000000"/>
          <w:sz w:val="22"/>
        </w:rPr>
        <w:t xml:space="preserve">National guard plates. </w:t>
      </w:r>
      <w:r>
        <w:rPr>
          <w:rFonts w:ascii="Times New Roman" w:hAnsi="Times New Roman"/>
          <w:b w:val="false"/>
          <w:i w:val="false"/>
          <w:color w:val="000000"/>
          <w:sz w:val="22"/>
        </w:rPr>
        <w:t>Application for special plates with a national guard processed emblem shall be submitted to the department in a manner prescribed by the department. The unit commander of the applicant shall sign the application confirming that the applicant is a member of the Iowa national guard.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4908C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761—401.23</w:t>
      </w:r>
      <w:r>
        <w:rPr>
          <w:rFonts w:ascii="Times New Roman" w:hAnsi="Times New Roman"/>
          <w:b/>
          <w:i w:val="false"/>
          <w:color w:val="000000"/>
          <w:sz w:val="22"/>
        </w:rPr>
        <w:t xml:space="preserve">(321) </w:t>
      </w:r>
      <w:r>
        <w:rPr>
          <w:rFonts w:ascii="Times New Roman" w:hAnsi="Times New Roman"/>
          <w:b/>
          <w:i w:val="false"/>
          <w:color w:val="000000"/>
          <w:sz w:val="22"/>
        </w:rPr>
        <w:t xml:space="preserve">Pearl Harbor plates. </w:t>
      </w:r>
      <w:r>
        <w:rPr>
          <w:rFonts w:ascii="Times New Roman" w:hAnsi="Times New Roman"/>
          <w:b w:val="false"/>
          <w:i w:val="false"/>
          <w:color w:val="000000"/>
          <w:sz w:val="22"/>
        </w:rPr>
        <w:t>Application for special plates with a Pearl Harbor processed emblem shall be submitted to the department in a manner prescribed by the department. The applicant shall attach a copy of an official government document verifying that the applicant was stationed at Pearl Harbor, Hawaii, as a member of the armed forces on December 7, 1941.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4908C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761—401.24</w:t>
      </w:r>
      <w:r>
        <w:rPr>
          <w:rFonts w:ascii="Times New Roman" w:hAnsi="Times New Roman"/>
          <w:b/>
          <w:i w:val="false"/>
          <w:color w:val="000000"/>
          <w:sz w:val="22"/>
        </w:rPr>
        <w:t xml:space="preserve">(321) </w:t>
      </w:r>
      <w:r>
        <w:rPr>
          <w:rFonts w:ascii="Times New Roman" w:hAnsi="Times New Roman"/>
          <w:b/>
          <w:i w:val="false"/>
          <w:color w:val="000000"/>
          <w:sz w:val="22"/>
        </w:rPr>
        <w:t xml:space="preserve">Purple Heart, Silver Star and Bronze Star plates. </w:t>
      </w:r>
      <w:r>
        <w:rPr>
          <w:rFonts w:ascii="Times New Roman" w:hAnsi="Times New Roman"/>
          <w:b w:val="false"/>
          <w:i w:val="false"/>
          <w:color w:val="000000"/>
          <w:sz w:val="22"/>
        </w:rPr>
        <w:t>Application for special plates with a Purple Heart, Silver Star, or Bronze Star processed emblem shall be submitted to the department in a manner prescribed by the department. To verify receipt of the medal, the applicant shall attach a copy of one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official military order confirming the medal.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report of discharge or federal Form DD214.</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Other documentation approved by the Iowa office of the adjutant general.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4908C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761—401.25</w:t>
      </w:r>
      <w:r>
        <w:rPr>
          <w:rFonts w:ascii="Times New Roman" w:hAnsi="Times New Roman"/>
          <w:b/>
          <w:i w:val="false"/>
          <w:color w:val="000000"/>
          <w:sz w:val="22"/>
        </w:rPr>
        <w:t xml:space="preserve">(321) </w:t>
      </w:r>
      <w:r>
        <w:rPr>
          <w:rFonts w:ascii="Times New Roman" w:hAnsi="Times New Roman"/>
          <w:b/>
          <w:i w:val="false"/>
          <w:color w:val="000000"/>
          <w:sz w:val="22"/>
        </w:rPr>
        <w:t xml:space="preserve">U.S. armed forces retired plates. </w:t>
      </w:r>
      <w:r>
        <w:rPr>
          <w:rFonts w:ascii="Times New Roman" w:hAnsi="Times New Roman"/>
          <w:b w:val="false"/>
          <w:i w:val="false"/>
          <w:color w:val="000000"/>
          <w:sz w:val="22"/>
        </w:rPr>
        <w:t>Application for special plates with a United States armed forces retired processed emblem shall be submitted to the department in a manner prescribed by the department. A person is considered to be retired if the person is recognized by the United States armed forces as retired from the United States armed forces. To verify retirement from the United States armed forces, the applicant shall attach a copy of one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official military order confirming retirement from the armed forces.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report of discharge or federal Form DD214.</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Other documentation approved by the Iowa office of the adjutant general.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4908C</w:t>
      </w:r>
      <w:r>
        <w:rPr>
          <w:rFonts w:ascii="Times New Roman" w:hAnsi="Times New Roman"/>
          <w:b w:val="false"/>
          <w:i w:val="false"/>
          <w:color w:val="000000"/>
          <w:sz w:val="16"/>
        </w:rPr>
        <w:t>, IAB 2/12/20, effective 3/18/20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761—401.26</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761—401.27</w:t>
      </w:r>
      <w:r>
        <w:rPr>
          <w:rFonts w:ascii="Times New Roman" w:hAnsi="Times New Roman"/>
          <w:b/>
          <w:i w:val="false"/>
          <w:color w:val="000000"/>
          <w:sz w:val="22"/>
        </w:rPr>
        <w:t xml:space="preserve">(321) </w:t>
      </w:r>
      <w:r>
        <w:rPr>
          <w:rFonts w:ascii="Times New Roman" w:hAnsi="Times New Roman"/>
          <w:b/>
          <w:i w:val="false"/>
          <w:color w:val="000000"/>
          <w:sz w:val="22"/>
        </w:rPr>
        <w:t xml:space="preserve">Iowa heritage plates.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11/23/05</w:t>
      </w:r>
      <w:r>
        <w:rPr>
          <w:rFonts w:ascii="Times New Roman" w:hAnsi="Times New Roman"/>
          <w:b w:val="false"/>
          <w:i w:val="false"/>
          <w:color w:val="000000"/>
          <w:sz w:val="22"/>
        </w:rPr>
        <w:t>, effective 12/28/05.</w:t>
      </w:r>
    </w:p>
    <w:p>
      <w:pPr>
        <w:spacing w:before="210" w:after="0"/>
        <w:ind w:left="120"/>
        <w:jc w:val="both"/>
      </w:pPr>
      <w:r>
        <w:rPr>
          <w:rFonts w:ascii="Times New Roman" w:hAnsi="Times New Roman"/>
          <w:b/>
          <w:i w:val="false"/>
          <w:color w:val="000000"/>
          <w:sz w:val="22"/>
        </w:rPr>
        <w:t>761—401.28</w:t>
      </w:r>
      <w:r>
        <w:rPr>
          <w:rFonts w:ascii="Times New Roman" w:hAnsi="Times New Roman"/>
          <w:b/>
          <w:i w:val="false"/>
          <w:color w:val="000000"/>
          <w:sz w:val="22"/>
        </w:rPr>
        <w:t xml:space="preserve">(321) </w:t>
      </w:r>
      <w:r>
        <w:rPr>
          <w:rFonts w:ascii="Times New Roman" w:hAnsi="Times New Roman"/>
          <w:b/>
          <w:i w:val="false"/>
          <w:color w:val="000000"/>
          <w:sz w:val="22"/>
        </w:rPr>
        <w:t xml:space="preserve">Education plates.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11/23/05</w:t>
      </w:r>
      <w:r>
        <w:rPr>
          <w:rFonts w:ascii="Times New Roman" w:hAnsi="Times New Roman"/>
          <w:b w:val="false"/>
          <w:i w:val="false"/>
          <w:color w:val="000000"/>
          <w:sz w:val="22"/>
        </w:rPr>
        <w:t>, effective 12/28/05.</w:t>
      </w:r>
    </w:p>
    <w:p>
      <w:pPr>
        <w:spacing w:before="210" w:after="0"/>
        <w:ind w:left="120"/>
        <w:jc w:val="both"/>
      </w:pPr>
      <w:r>
        <w:rPr>
          <w:rFonts w:ascii="Times New Roman" w:hAnsi="Times New Roman"/>
          <w:b/>
          <w:i w:val="false"/>
          <w:color w:val="000000"/>
          <w:sz w:val="22"/>
        </w:rPr>
        <w:t>761—401.29</w:t>
      </w:r>
      <w:r>
        <w:rPr>
          <w:rFonts w:ascii="Times New Roman" w:hAnsi="Times New Roman"/>
          <w:b/>
          <w:i w:val="false"/>
          <w:color w:val="000000"/>
          <w:sz w:val="22"/>
        </w:rPr>
        <w:t xml:space="preserve">(321) </w:t>
      </w:r>
      <w:r>
        <w:rPr>
          <w:rFonts w:ascii="Times New Roman" w:hAnsi="Times New Roman"/>
          <w:b/>
          <w:i w:val="false"/>
          <w:color w:val="000000"/>
          <w:sz w:val="22"/>
        </w:rPr>
        <w:t xml:space="preserve">Love our kids plates.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11/23/05</w:t>
      </w:r>
      <w:r>
        <w:rPr>
          <w:rFonts w:ascii="Times New Roman" w:hAnsi="Times New Roman"/>
          <w:b w:val="false"/>
          <w:i w:val="false"/>
          <w:color w:val="000000"/>
          <w:sz w:val="22"/>
        </w:rPr>
        <w:t>, effective 12/28/05.</w:t>
      </w:r>
    </w:p>
    <w:p>
      <w:pPr>
        <w:spacing w:before="210" w:after="0"/>
        <w:ind w:left="120"/>
        <w:jc w:val="both"/>
      </w:pPr>
      <w:r>
        <w:rPr>
          <w:rFonts w:ascii="Times New Roman" w:hAnsi="Times New Roman"/>
          <w:b/>
          <w:i w:val="false"/>
          <w:color w:val="000000"/>
          <w:sz w:val="22"/>
        </w:rPr>
        <w:t>761—401.30</w:t>
      </w:r>
      <w:r>
        <w:rPr>
          <w:rFonts w:ascii="Times New Roman" w:hAnsi="Times New Roman"/>
          <w:b/>
          <w:i w:val="false"/>
          <w:color w:val="000000"/>
          <w:sz w:val="22"/>
        </w:rPr>
        <w:t xml:space="preserve">(321) </w:t>
      </w:r>
      <w:r>
        <w:rPr>
          <w:rFonts w:ascii="Times New Roman" w:hAnsi="Times New Roman"/>
          <w:b/>
          <w:i w:val="false"/>
          <w:color w:val="000000"/>
          <w:sz w:val="22"/>
        </w:rPr>
        <w:t xml:space="preserve">Motorcycle rider education plates.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11/23/05</w:t>
      </w:r>
      <w:r>
        <w:rPr>
          <w:rFonts w:ascii="Times New Roman" w:hAnsi="Times New Roman"/>
          <w:b w:val="false"/>
          <w:i w:val="false"/>
          <w:color w:val="000000"/>
          <w:sz w:val="22"/>
        </w:rPr>
        <w:t>, effective 12/28/05.</w:t>
      </w:r>
    </w:p>
    <w:p>
      <w:pPr>
        <w:spacing w:before="210" w:after="0"/>
        <w:ind w:left="120"/>
        <w:jc w:val="both"/>
      </w:pPr>
      <w:r>
        <w:rPr>
          <w:rFonts w:ascii="Times New Roman" w:hAnsi="Times New Roman"/>
          <w:b/>
          <w:i w:val="false"/>
          <w:color w:val="000000"/>
          <w:sz w:val="22"/>
        </w:rPr>
        <w:t>761—401.31</w:t>
      </w:r>
      <w:r>
        <w:rPr>
          <w:rFonts w:ascii="Times New Roman" w:hAnsi="Times New Roman"/>
          <w:b/>
          <w:i w:val="false"/>
          <w:color w:val="000000"/>
          <w:sz w:val="22"/>
        </w:rPr>
        <w:t xml:space="preserve">(321) </w:t>
      </w:r>
      <w:r>
        <w:rPr>
          <w:rFonts w:ascii="Times New Roman" w:hAnsi="Times New Roman"/>
          <w:b/>
          <w:i w:val="false"/>
          <w:color w:val="000000"/>
          <w:sz w:val="22"/>
        </w:rPr>
        <w:t xml:space="preserve">Veteran plates. </w:t>
      </w:r>
      <w:r>
        <w:rPr>
          <w:rFonts w:ascii="Times New Roman" w:hAnsi="Times New Roman"/>
          <w:b w:val="false"/>
          <w:i w:val="false"/>
          <w:color w:val="000000"/>
          <w:sz w:val="22"/>
        </w:rPr>
        <w:t>Application for special plates with a veteran processed emblem shall be submitted to the commission of veterans affairs on a form prescribed by the department of transportation. The commission of veterans affairs shall determine whether the applicant is a veteran and, if so, certify this fact on the application form.</w:t>
      </w:r>
    </w:p>
    <w:p>
      <w:pPr>
        <w:spacing w:before="210" w:after="0"/>
        <w:ind w:left="120"/>
        <w:jc w:val="both"/>
      </w:pPr>
      <w:r>
        <w:rPr>
          <w:rFonts w:ascii="Times New Roman" w:hAnsi="Times New Roman"/>
          <w:b/>
          <w:i w:val="false"/>
          <w:color w:val="000000"/>
          <w:sz w:val="22"/>
        </w:rPr>
        <w:t>761—401.32</w:t>
      </w:r>
      <w:r>
        <w:rPr>
          <w:rFonts w:ascii="Times New Roman" w:hAnsi="Times New Roman"/>
          <w:b/>
          <w:i w:val="false"/>
          <w:color w:val="000000"/>
          <w:sz w:val="22"/>
        </w:rPr>
        <w:t xml:space="preserve">(321) </w:t>
      </w:r>
      <w:r>
        <w:rPr>
          <w:rFonts w:ascii="Times New Roman" w:hAnsi="Times New Roman"/>
          <w:b/>
          <w:i w:val="false"/>
          <w:color w:val="000000"/>
          <w:sz w:val="22"/>
        </w:rPr>
        <w:t xml:space="preserve">Surrender of plates. </w:t>
      </w:r>
      <w:r>
        <w:rPr>
          <w:rFonts w:ascii="Times New Roman" w:hAnsi="Times New Roman"/>
          <w:b w:val="false"/>
          <w:i w:val="false"/>
          <w:color w:val="000000"/>
          <w:sz w:val="22"/>
        </w:rPr>
        <w:t>Special registration plates issued to a person who is no longer eligible for the plates shall be surrendered to the county treasurer in exchange for regular registration plates within 30 days after the date of the event that made the person ineligible. If the vehicle was exempt from the payment of regular registration fees due to the type of special registration plates issued, the vehicle shall become subject to the payment of regular registration fees on the first day of the month following the date of the event that made the person ineligible. The regular registration fees shall be prorated for the remaining unexpired months of the registration year.</w:t>
      </w:r>
    </w:p>
    <w:p>
      <w:pPr>
        <w:spacing w:before="210" w:after="0"/>
        <w:ind w:left="120"/>
        <w:jc w:val="both"/>
      </w:pPr>
      <w:r>
        <w:rPr>
          <w:rFonts w:ascii="Times New Roman" w:hAnsi="Times New Roman"/>
          <w:b/>
          <w:i w:val="false"/>
          <w:color w:val="000000"/>
          <w:sz w:val="22"/>
        </w:rPr>
        <w:t>761—401.33</w:t>
      </w:r>
      <w:r>
        <w:rPr>
          <w:rFonts w:ascii="Times New Roman" w:hAnsi="Times New Roman"/>
          <w:b/>
          <w:i w:val="false"/>
          <w:color w:val="000000"/>
          <w:sz w:val="22"/>
        </w:rPr>
        <w:t xml:space="preserve">(321) </w:t>
      </w:r>
      <w:r>
        <w:rPr>
          <w:rFonts w:ascii="Times New Roman" w:hAnsi="Times New Roman"/>
          <w:b/>
          <w:i w:val="false"/>
          <w:color w:val="000000"/>
          <w:sz w:val="22"/>
        </w:rPr>
        <w:t xml:space="preserve">Validation fees. </w:t>
      </w:r>
      <w:r>
        <w:rPr>
          <w:rFonts w:ascii="Times New Roman" w:hAnsi="Times New Roman"/>
          <w:b w:val="false"/>
          <w:i w:val="false"/>
          <w:color w:val="000000"/>
          <w:sz w:val="22"/>
        </w:rPr>
        <w:t>Validation fees shall not be prorated. The annual validation fee is due when there is a change in registration month.</w:t>
      </w:r>
    </w:p>
    <w:p>
      <w:pPr>
        <w:spacing w:before="0" w:after="0"/>
        <w:ind w:left="120"/>
        <w:jc w:val="both"/>
      </w:pPr>
      <w:r>
        <w:rPr>
          <w:rFonts w:ascii="Times New Roman" w:hAnsi="Times New Roman"/>
          <w:b/>
          <w:i w:val="false"/>
          <w:color w:val="000000"/>
          <w:sz w:val="22"/>
        </w:rPr>
        <w:t>761—401.34</w:t>
      </w:r>
      <w:r>
        <w:rPr>
          <w:rFonts w:ascii="Times New Roman" w:hAnsi="Times New Roman"/>
          <w:b/>
          <w:i w:val="false"/>
          <w:color w:val="000000"/>
          <w:sz w:val="22"/>
        </w:rPr>
        <w:t xml:space="preserve">(321) </w:t>
      </w:r>
      <w:r>
        <w:rPr>
          <w:rFonts w:ascii="Times New Roman" w:hAnsi="Times New Roman"/>
          <w:b/>
          <w:i w:val="false"/>
          <w:color w:val="000000"/>
          <w:sz w:val="22"/>
        </w:rPr>
        <w:t xml:space="preserve">Reassignment of plates.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401.34(1)</w:t>
      </w:r>
      <w:r>
        <w:rPr>
          <w:rFonts w:ascii="Times New Roman" w:hAnsi="Times New Roman"/>
          <w:b w:val="false"/>
          <w:i w:val="false"/>
          <w:color w:val="000000"/>
          <w:sz w:val="22"/>
        </w:rPr>
        <w:t> </w:t>
      </w:r>
      <w:r>
        <w:rPr>
          <w:rFonts w:ascii="Times New Roman" w:hAnsi="Times New Roman"/>
          <w:b w:val="false"/>
          <w:i w:val="false"/>
          <w:color w:val="000000"/>
          <w:sz w:val="22"/>
        </w:rPr>
        <w:t>A vehicle owner or lessee who has special registration plates assigned to a currently registered vehicle may request that the plates be reassigned to another currently registered vehicle owned or leased by that person or owned or leased by another person. However, special registration plates that have eligibility requirements may not be reassigned to a vehicle owned or leased by another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401.34(2)</w:t>
      </w:r>
      <w:r>
        <w:rPr>
          <w:rFonts w:ascii="Times New Roman" w:hAnsi="Times New Roman"/>
          <w:b w:val="false"/>
          <w:i w:val="false"/>
          <w:color w:val="000000"/>
          <w:sz w:val="22"/>
        </w:rPr>
        <w:t> </w:t>
      </w:r>
      <w:r>
        <w:rPr>
          <w:rFonts w:ascii="Times New Roman" w:hAnsi="Times New Roman"/>
          <w:b w:val="false"/>
          <w:i w:val="false"/>
          <w:color w:val="000000"/>
          <w:sz w:val="22"/>
        </w:rPr>
        <w:t>To reassign plates to a vehicle owned or leased by another person, a written request for reassignment signed by both the assignor and assignee shall be submitted to the county treasurer of the assignee’s county of residence. The special registration plates shall be issued to the assignee by the county treasurer of the assignee’s county of residence in exchange for the registration plates previously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401.34(3)</w:t>
      </w:r>
      <w:r>
        <w:rPr>
          <w:rFonts w:ascii="Times New Roman" w:hAnsi="Times New Roman"/>
          <w:b w:val="false"/>
          <w:i w:val="false"/>
          <w:color w:val="000000"/>
          <w:sz w:val="22"/>
        </w:rPr>
        <w:t> </w:t>
      </w:r>
      <w:r>
        <w:rPr>
          <w:rFonts w:ascii="Times New Roman" w:hAnsi="Times New Roman"/>
          <w:b w:val="false"/>
          <w:i w:val="false"/>
          <w:color w:val="000000"/>
          <w:sz w:val="22"/>
        </w:rPr>
        <w:t xml:space="preserve">When ownership of a vehicle is transferred to another person, the owner shall, within 30 days after the transfer, either surrender the special registration plates to the county treasurer or request reassignment of the plates, as explained in subrules </w:t>
      </w:r>
      <w:hyperlink r:id="rId33">
        <w:r>
          <w:rPr>
            <w:rStyle w:val="Hyperlink"/>
            <w:rFonts w:ascii="Times New Roman" w:hAnsi="Times New Roman"/>
            <w:b w:val="false"/>
            <w:i w:val="false"/>
            <w:color w:val="000000"/>
            <w:sz w:val="22"/>
          </w:rPr>
          <w:t>401.34(1)</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401.34(2)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401.34(4)</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lease for a vehicle is terminated, the lessee shall, within 30 days after the termination, either surrender the special registration plates to the county treasurer or request reassignment of the plates, as explained in subrules </w:t>
      </w:r>
      <w:hyperlink r:id="rId35">
        <w:r>
          <w:rPr>
            <w:rStyle w:val="Hyperlink"/>
            <w:rFonts w:ascii="Times New Roman" w:hAnsi="Times New Roman"/>
            <w:b w:val="false"/>
            <w:i w:val="false"/>
            <w:color w:val="000000"/>
            <w:sz w:val="22"/>
          </w:rPr>
          <w:t>401.34(1)</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401.34(2)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761—401.35</w:t>
      </w:r>
      <w:r>
        <w:rPr>
          <w:rFonts w:ascii="Times New Roman" w:hAnsi="Times New Roman"/>
          <w:b/>
          <w:i w:val="false"/>
          <w:color w:val="000000"/>
          <w:sz w:val="22"/>
        </w:rPr>
        <w:t xml:space="preserve">(321) </w:t>
      </w:r>
      <w:r>
        <w:rPr>
          <w:rFonts w:ascii="Times New Roman" w:hAnsi="Times New Roman"/>
          <w:b/>
          <w:i w:val="false"/>
          <w:color w:val="000000"/>
          <w:sz w:val="22"/>
        </w:rPr>
        <w:t xml:space="preserve">Revocation of special registration plates—appeal.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401.35(1)</w:t>
      </w:r>
      <w:r>
        <w:rPr>
          <w:rFonts w:ascii="Times New Roman" w:hAnsi="Times New Roman"/>
          <w:b w:val="false"/>
          <w:i w:val="false"/>
          <w:color w:val="000000"/>
          <w:sz w:val="22"/>
        </w:rPr>
        <w:t> </w:t>
      </w:r>
      <w:r>
        <w:rPr>
          <w:rFonts w:ascii="Times New Roman" w:hAnsi="Times New Roman"/>
          <w:b w:val="false"/>
          <w:i w:val="false"/>
          <w:color w:val="000000"/>
          <w:sz w:val="22"/>
        </w:rPr>
        <w:t>Special registration plates shall be revoked if they have been issued in conflict with the statutes or rules governing the plates’ issuance. Revoked plates shall be surrendered to the department within 30 days of the date of revocation.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401.35(2)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send the notice of revocation to a person’s mailing address by certified mail, and the revocation shall become effective 20 days from the date of mailing. The person may contest the decision of the department in accordance with </w:t>
      </w:r>
      <w:hyperlink r:id="rId37">
        <w:r>
          <w:rPr>
            <w:rStyle w:val="Hyperlink"/>
            <w:rFonts w:ascii="Times New Roman" w:hAnsi="Times New Roman"/>
            <w:b w:val="false"/>
            <w:i w:val="false"/>
            <w:color w:val="000000"/>
            <w:sz w:val="22"/>
          </w:rPr>
          <w:t>761—Chapter 13</w:t>
        </w:r>
      </w:hyperlink>
      <w:r>
        <w:rPr>
          <w:rFonts w:ascii="Times New Roman" w:hAnsi="Times New Roman"/>
          <w:b w:val="false"/>
          <w:i w:val="false"/>
          <w:color w:val="000000"/>
          <w:sz w:val="22"/>
        </w:rPr>
        <w:t>. The request shall be deemed timely if it is delivered or postmarked on or before the effective date specified in the notice.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3935C</w:t>
      </w:r>
      <w:r>
        <w:rPr>
          <w:rFonts w:ascii="Times New Roman" w:hAnsi="Times New Roman"/>
          <w:b w:val="false"/>
          <w:i w:val="false"/>
          <w:color w:val="000000"/>
          <w:sz w:val="16"/>
        </w:rPr>
        <w:t>, IAB 8/1/18, effective 9/5/18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761—401.36</w:t>
      </w:r>
      <w:r>
        <w:rPr>
          <w:rFonts w:ascii="Times New Roman" w:hAnsi="Times New Roman"/>
          <w:b/>
          <w:i w:val="false"/>
          <w:color w:val="000000"/>
          <w:sz w:val="22"/>
        </w:rPr>
        <w:t xml:space="preserve">(321) </w:t>
      </w:r>
      <w:r>
        <w:rPr>
          <w:rFonts w:ascii="Times New Roman" w:hAnsi="Times New Roman"/>
          <w:b/>
          <w:i w:val="false"/>
          <w:color w:val="000000"/>
          <w:sz w:val="22"/>
        </w:rPr>
        <w:t xml:space="preserve">Refund of fees. </w:t>
      </w:r>
      <w:r>
        <w:rPr>
          <w:rFonts w:ascii="Times New Roman" w:hAnsi="Times New Roman"/>
          <w:b w:val="false"/>
          <w:i w:val="false"/>
          <w:color w:val="000000"/>
          <w:sz w:val="22"/>
        </w:rPr>
        <w:t>No refund of fees for special registration plates shall be allowed unless the special plates were issued in conflict with the statutes or rules governing their issuance.</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38">
        <w:r>
          <w:rPr>
            <w:rStyle w:val="Hyperlink"/>
            <w:rFonts w:ascii="Times New Roman" w:hAnsi="Times New Roman"/>
            <w:b w:val="false"/>
            <w:i w:val="false"/>
            <w:color w:val="000000"/>
            <w:sz w:val="22"/>
          </w:rPr>
          <w:t>35A.11</w:t>
        </w:r>
      </w:hyperlink>
      <w:r>
        <w:rPr>
          <w:rFonts w:ascii="Times New Roman" w:hAnsi="Times New Roman"/>
          <w:b w:val="false"/>
          <w:i w:val="false"/>
          <w:color w:val="000000"/>
          <w:sz w:val="22"/>
        </w:rPr>
        <w:t>; </w:t>
      </w:r>
      <w:hyperlink r:id="rId39">
        <w:r>
          <w:rPr>
            <w:rStyle w:val="Hyperlink"/>
            <w:rFonts w:ascii="Times New Roman" w:hAnsi="Times New Roman"/>
            <w:b w:val="false"/>
            <w:i w:val="false"/>
            <w:color w:val="000000"/>
            <w:sz w:val="22"/>
          </w:rPr>
          <w:t>321.34</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2020 Iowa Acts, House File 2641</w:t>
      </w:r>
      <w:r>
        <w:rPr>
          <w:rFonts w:ascii="Times New Roman" w:hAnsi="Times New Roman"/>
          <w:b w:val="false"/>
          <w:i w:val="false"/>
          <w:color w:val="000000"/>
          <w:sz w:val="22"/>
        </w:rPr>
        <w:t>, section 155; </w:t>
      </w:r>
      <w:hyperlink r:id="rId40">
        <w:r>
          <w:rPr>
            <w:rStyle w:val="Hyperlink"/>
            <w:rFonts w:ascii="Times New Roman" w:hAnsi="Times New Roman"/>
            <w:b w:val="false"/>
            <w:i w:val="false"/>
            <w:color w:val="000000"/>
            <w:sz w:val="22"/>
          </w:rPr>
          <w:t>321.105</w:t>
        </w:r>
      </w:hyperlink>
      <w:r>
        <w:rPr>
          <w:rFonts w:ascii="Times New Roman" w:hAnsi="Times New Roman"/>
          <w:b w:val="false"/>
          <w:i w:val="false"/>
          <w:color w:val="000000"/>
          <w:sz w:val="22"/>
        </w:rPr>
        <w:t>; </w:t>
      </w:r>
      <w:hyperlink r:id="rId41">
        <w:r>
          <w:rPr>
            <w:rStyle w:val="Hyperlink"/>
            <w:rFonts w:ascii="Times New Roman" w:hAnsi="Times New Roman"/>
            <w:b w:val="false"/>
            <w:i w:val="false"/>
            <w:color w:val="000000"/>
            <w:sz w:val="22"/>
          </w:rPr>
          <w:t>321.166</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2020 Iowa Acts, House File 2641</w:t>
      </w:r>
      <w:r>
        <w:rPr>
          <w:rFonts w:ascii="Times New Roman" w:hAnsi="Times New Roman"/>
          <w:b w:val="false"/>
          <w:i w:val="false"/>
          <w:color w:val="000000"/>
          <w:sz w:val="22"/>
        </w:rPr>
        <w:t xml:space="preserve">, section 156; and </w:t>
      </w:r>
      <w:hyperlink r:id="rId42">
        <w:r>
          <w:rPr>
            <w:rStyle w:val="Hyperlink"/>
            <w:rFonts w:ascii="Times New Roman" w:hAnsi="Times New Roman"/>
            <w:b w:val="false"/>
            <w:i w:val="false"/>
            <w:color w:val="000000"/>
            <w:sz w:val="22"/>
          </w:rPr>
          <w:t>321L.1</w:t>
        </w:r>
      </w:hyperlink>
      <w:r>
        <w:rPr>
          <w:rFonts w:ascii="Times New Roman" w:hAnsi="Times New Roman"/>
          <w:b w:val="false"/>
          <w:i w:val="false"/>
          <w:color w:val="000000"/>
          <w:sz w:val="22"/>
        </w:rPr>
        <w:t xml:space="preserve"> and chapter </w:t>
      </w:r>
      <w:hyperlink r:id="rId4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2/8/95, Notice 1/4/95—published 3/1/95, effective 4/5/95]</w:t>
      </w:r>
    </w:p>
    <w:p>
      <w:pPr>
        <w:spacing w:before="0" w:after="0"/>
        <w:ind w:left="120"/>
        <w:jc w:val="center"/>
      </w:pPr>
      <w:r>
        <w:rPr>
          <w:rFonts w:ascii="Times New Roman" w:hAnsi="Times New Roman"/>
          <w:b w:val="false"/>
          <w:i w:val="false"/>
          <w:color w:val="000000"/>
          <w:sz w:val="21"/>
        </w:rPr>
        <w:t>[Filed 11/25/97, Notice 10/8/97—published 12/17/97, effective 1/21/98]</w:t>
      </w:r>
    </w:p>
    <w:p>
      <w:pPr>
        <w:spacing w:before="0" w:after="0"/>
        <w:ind w:left="120"/>
        <w:jc w:val="center"/>
      </w:pPr>
      <w:r>
        <w:rPr>
          <w:rFonts w:ascii="Times New Roman" w:hAnsi="Times New Roman"/>
          <w:b w:val="false"/>
          <w:i w:val="false"/>
          <w:color w:val="000000"/>
          <w:sz w:val="21"/>
        </w:rPr>
        <w:t>[Filed 12/16/98, Notice 11/4/98—published 1/13/99, effective 2/17/99]</w:t>
      </w:r>
    </w:p>
    <w:p>
      <w:pPr>
        <w:spacing w:before="0" w:after="0"/>
        <w:ind w:left="120"/>
        <w:jc w:val="center"/>
      </w:pPr>
      <w:r>
        <w:rPr>
          <w:rFonts w:ascii="Times New Roman" w:hAnsi="Times New Roman"/>
          <w:b w:val="false"/>
          <w:i w:val="false"/>
          <w:color w:val="000000"/>
          <w:sz w:val="21"/>
        </w:rPr>
        <w:t>[Filed 3/10/99, Notice 1/13/99—published 4/7/99, effective 5/12/99]</w:t>
      </w:r>
    </w:p>
    <w:p>
      <w:pPr>
        <w:spacing w:before="0" w:after="0"/>
        <w:ind w:left="120"/>
        <w:jc w:val="center"/>
      </w:pPr>
      <w:r>
        <w:rPr>
          <w:rFonts w:ascii="Times New Roman" w:hAnsi="Times New Roman"/>
          <w:b w:val="false"/>
          <w:i w:val="false"/>
          <w:color w:val="000000"/>
          <w:sz w:val="21"/>
        </w:rPr>
        <w:t>[Filed 10/14/99, Notice 9/8/99—published 11/3/99, effective 12/8/99]</w:t>
      </w:r>
    </w:p>
    <w:p>
      <w:pPr>
        <w:spacing w:before="0" w:after="0"/>
        <w:ind w:left="120"/>
        <w:jc w:val="center"/>
      </w:pPr>
      <w:r>
        <w:rPr>
          <w:rFonts w:ascii="Times New Roman" w:hAnsi="Times New Roman"/>
          <w:b w:val="false"/>
          <w:i w:val="false"/>
          <w:color w:val="000000"/>
          <w:sz w:val="21"/>
        </w:rPr>
        <w:t>[Filed 6/19/02, Notice 4/17/02—published 7/10/02, effective 8/14/02]</w:t>
      </w:r>
    </w:p>
    <w:p>
      <w:pPr>
        <w:spacing w:before="0" w:after="0"/>
        <w:ind w:left="120"/>
        <w:jc w:val="center"/>
      </w:pPr>
      <w:r>
        <w:rPr>
          <w:rFonts w:ascii="Times New Roman" w:hAnsi="Times New Roman"/>
          <w:b w:val="false"/>
          <w:i w:val="false"/>
          <w:color w:val="000000"/>
          <w:sz w:val="21"/>
        </w:rPr>
        <w:t>[Filed 7/13/04, Notice 5/12/04—published 8/4/04, effective 9/8/04]</w:t>
      </w:r>
    </w:p>
    <w:p>
      <w:pPr>
        <w:spacing w:before="0" w:after="0"/>
        <w:ind w:left="120"/>
        <w:jc w:val="center"/>
      </w:pPr>
      <w:r>
        <w:rPr>
          <w:rFonts w:ascii="Times New Roman" w:hAnsi="Times New Roman"/>
          <w:b w:val="false"/>
          <w:i w:val="false"/>
          <w:color w:val="000000"/>
          <w:sz w:val="21"/>
        </w:rPr>
        <w:t>[Filed 11/2/05, Notice 9/14/05—published 11/23/05, effective 12/28/05]</w:t>
      </w:r>
    </w:p>
    <w:p>
      <w:pPr>
        <w:spacing w:before="0" w:after="0"/>
        <w:ind w:left="120"/>
        <w:jc w:val="center"/>
      </w:pPr>
      <w:r>
        <w:rPr>
          <w:rFonts w:ascii="Times New Roman" w:hAnsi="Times New Roman"/>
          <w:b w:val="false"/>
          <w:i w:val="false"/>
          <w:color w:val="000000"/>
          <w:sz w:val="21"/>
        </w:rPr>
        <w:t>[Filed 10/11/07, Notice 8/15/07—published 11/7/07, effective 12/12/07]</w:t>
      </w:r>
    </w:p>
    <w:p>
      <w:pPr>
        <w:spacing w:before="0" w:after="0"/>
        <w:ind w:left="120"/>
        <w:jc w:val="center"/>
      </w:pPr>
      <w:r>
        <w:rPr>
          <w:rFonts w:ascii="Times New Roman" w:hAnsi="Times New Roman"/>
          <w:b w:val="false"/>
          <w:i w:val="false"/>
          <w:color w:val="000000"/>
          <w:sz w:val="21"/>
        </w:rPr>
        <w:t>[Filed ARC 9048B</w:t>
      </w:r>
      <w:r>
        <w:rPr>
          <w:rFonts w:ascii="Times New Roman" w:hAnsi="Times New Roman"/>
          <w:b w:val="false"/>
          <w:i w:val="false"/>
          <w:color w:val="000000"/>
          <w:sz w:val="21"/>
        </w:rPr>
        <w:t xml:space="preserve"> (Notice ARC 8869B, IAB 6/30/10)</w:t>
      </w:r>
      <w:r>
        <w:rPr>
          <w:rFonts w:ascii="Times New Roman" w:hAnsi="Times New Roman"/>
          <w:b w:val="false"/>
          <w:i w:val="false"/>
          <w:color w:val="000000"/>
          <w:sz w:val="21"/>
        </w:rPr>
        <w:t>, IAB 9/8/10, effective 10/13/10]</w:t>
      </w:r>
    </w:p>
    <w:p>
      <w:pPr>
        <w:spacing w:before="0" w:after="0"/>
        <w:ind w:left="120"/>
        <w:jc w:val="center"/>
      </w:pPr>
      <w:r>
        <w:rPr>
          <w:rFonts w:ascii="Times New Roman" w:hAnsi="Times New Roman"/>
          <w:b w:val="false"/>
          <w:i w:val="false"/>
          <w:color w:val="000000"/>
          <w:sz w:val="21"/>
        </w:rPr>
        <w:t>[Filed ARC 9833B</w:t>
      </w:r>
      <w:r>
        <w:rPr>
          <w:rFonts w:ascii="Times New Roman" w:hAnsi="Times New Roman"/>
          <w:b w:val="false"/>
          <w:i w:val="false"/>
          <w:color w:val="000000"/>
          <w:sz w:val="21"/>
        </w:rPr>
        <w:t xml:space="preserve"> (Notice ARC 9742B, IAB 9/7/11)</w:t>
      </w:r>
      <w:r>
        <w:rPr>
          <w:rFonts w:ascii="Times New Roman" w:hAnsi="Times New Roman"/>
          <w:b w:val="false"/>
          <w:i w:val="false"/>
          <w:color w:val="000000"/>
          <w:sz w:val="21"/>
        </w:rPr>
        <w:t>, IAB 11/2/11, effective 12/7/11]</w:t>
      </w:r>
    </w:p>
    <w:p>
      <w:pPr>
        <w:spacing w:before="0" w:after="0"/>
        <w:ind w:left="120"/>
        <w:jc w:val="center"/>
      </w:pPr>
      <w:r>
        <w:rPr>
          <w:rFonts w:ascii="Times New Roman" w:hAnsi="Times New Roman"/>
          <w:b w:val="false"/>
          <w:i w:val="false"/>
          <w:color w:val="000000"/>
          <w:sz w:val="21"/>
        </w:rPr>
        <w:t>[Filed ARC 0136C</w:t>
      </w:r>
      <w:r>
        <w:rPr>
          <w:rFonts w:ascii="Times New Roman" w:hAnsi="Times New Roman"/>
          <w:b w:val="false"/>
          <w:i w:val="false"/>
          <w:color w:val="000000"/>
          <w:sz w:val="21"/>
        </w:rPr>
        <w:t xml:space="preserve"> (Notice ARC 0068C, IAB 4/4/12)</w:t>
      </w:r>
      <w:r>
        <w:rPr>
          <w:rFonts w:ascii="Times New Roman" w:hAnsi="Times New Roman"/>
          <w:b w:val="false"/>
          <w:i w:val="false"/>
          <w:color w:val="000000"/>
          <w:sz w:val="21"/>
        </w:rPr>
        <w:t>, IAB 5/30/12, effective 7/4/12]</w:t>
      </w:r>
    </w:p>
    <w:p>
      <w:pPr>
        <w:spacing w:before="0" w:after="0"/>
        <w:ind w:left="120"/>
        <w:jc w:val="center"/>
      </w:pPr>
      <w:r>
        <w:rPr>
          <w:rFonts w:ascii="Times New Roman" w:hAnsi="Times New Roman"/>
          <w:b w:val="false"/>
          <w:i w:val="false"/>
          <w:color w:val="000000"/>
          <w:sz w:val="21"/>
        </w:rPr>
        <w:t>[Filed ARC 0778C</w:t>
      </w:r>
      <w:r>
        <w:rPr>
          <w:rFonts w:ascii="Times New Roman" w:hAnsi="Times New Roman"/>
          <w:b w:val="false"/>
          <w:i w:val="false"/>
          <w:color w:val="000000"/>
          <w:sz w:val="21"/>
        </w:rPr>
        <w:t xml:space="preserve"> (Notice ARC 0658C, IAB 4/3/13)</w:t>
      </w:r>
      <w:r>
        <w:rPr>
          <w:rFonts w:ascii="Times New Roman" w:hAnsi="Times New Roman"/>
          <w:b w:val="false"/>
          <w:i w:val="false"/>
          <w:color w:val="000000"/>
          <w:sz w:val="21"/>
        </w:rPr>
        <w:t>, IAB 6/12/13, effective 7/17/13]</w:t>
      </w:r>
    </w:p>
    <w:p>
      <w:pPr>
        <w:spacing w:before="0" w:after="0"/>
        <w:ind w:left="120"/>
        <w:jc w:val="center"/>
      </w:pPr>
      <w:r>
        <w:rPr>
          <w:rFonts w:ascii="Times New Roman" w:hAnsi="Times New Roman"/>
          <w:b w:val="false"/>
          <w:i w:val="false"/>
          <w:color w:val="000000"/>
          <w:sz w:val="21"/>
        </w:rPr>
        <w:t>[Filed ARC 2985C</w:t>
      </w:r>
      <w:r>
        <w:rPr>
          <w:rFonts w:ascii="Times New Roman" w:hAnsi="Times New Roman"/>
          <w:b w:val="false"/>
          <w:i w:val="false"/>
          <w:color w:val="000000"/>
          <w:sz w:val="21"/>
        </w:rPr>
        <w:t xml:space="preserve"> (Notice ARC 2908C, IAB 1/18/17)</w:t>
      </w:r>
      <w:r>
        <w:rPr>
          <w:rFonts w:ascii="Times New Roman" w:hAnsi="Times New Roman"/>
          <w:b w:val="false"/>
          <w:i w:val="false"/>
          <w:color w:val="000000"/>
          <w:sz w:val="21"/>
        </w:rPr>
        <w:t>, IAB 3/15/17, effective 4/19/17]</w:t>
      </w:r>
    </w:p>
    <w:p>
      <w:pPr>
        <w:spacing w:before="0" w:after="0"/>
        <w:ind w:left="120"/>
        <w:jc w:val="center"/>
      </w:pPr>
      <w:r>
        <w:rPr>
          <w:rFonts w:ascii="Times New Roman" w:hAnsi="Times New Roman"/>
          <w:b w:val="false"/>
          <w:i w:val="false"/>
          <w:color w:val="000000"/>
          <w:sz w:val="21"/>
        </w:rPr>
        <w:t>[Filed ARC 3450C</w:t>
      </w:r>
      <w:r>
        <w:rPr>
          <w:rFonts w:ascii="Times New Roman" w:hAnsi="Times New Roman"/>
          <w:b w:val="false"/>
          <w:i w:val="false"/>
          <w:color w:val="000000"/>
          <w:sz w:val="21"/>
        </w:rPr>
        <w:t xml:space="preserve"> (Notice ARC 3304C, IAB 9/13/17)</w:t>
      </w:r>
      <w:r>
        <w:rPr>
          <w:rFonts w:ascii="Times New Roman" w:hAnsi="Times New Roman"/>
          <w:b w:val="false"/>
          <w:i w:val="false"/>
          <w:color w:val="000000"/>
          <w:sz w:val="21"/>
        </w:rPr>
        <w:t>, IAB 11/8/17, effective 12/13/17]</w:t>
      </w:r>
    </w:p>
    <w:p>
      <w:pPr>
        <w:spacing w:before="0" w:after="0"/>
        <w:ind w:left="120"/>
        <w:jc w:val="center"/>
      </w:pPr>
      <w:r>
        <w:rPr>
          <w:rFonts w:ascii="Times New Roman" w:hAnsi="Times New Roman"/>
          <w:b w:val="false"/>
          <w:i w:val="false"/>
          <w:color w:val="000000"/>
          <w:sz w:val="21"/>
        </w:rPr>
        <w:t>[Filed ARC 3935C</w:t>
      </w:r>
      <w:r>
        <w:rPr>
          <w:rFonts w:ascii="Times New Roman" w:hAnsi="Times New Roman"/>
          <w:b w:val="false"/>
          <w:i w:val="false"/>
          <w:color w:val="000000"/>
          <w:sz w:val="21"/>
        </w:rPr>
        <w:t xml:space="preserve"> (Notice ARC 3820C, IAB 6/6/18)</w:t>
      </w:r>
      <w:r>
        <w:rPr>
          <w:rFonts w:ascii="Times New Roman" w:hAnsi="Times New Roman"/>
          <w:b w:val="false"/>
          <w:i w:val="false"/>
          <w:color w:val="000000"/>
          <w:sz w:val="21"/>
        </w:rPr>
        <w:t>, IAB 8/1/18, effective 9/5/18]</w:t>
      </w:r>
    </w:p>
    <w:p>
      <w:pPr>
        <w:spacing w:before="0" w:after="0"/>
        <w:ind w:left="120"/>
        <w:jc w:val="center"/>
      </w:pPr>
      <w:r>
        <w:rPr>
          <w:rFonts w:ascii="Times New Roman" w:hAnsi="Times New Roman"/>
          <w:b w:val="false"/>
          <w:i w:val="false"/>
          <w:color w:val="000000"/>
          <w:sz w:val="21"/>
        </w:rPr>
        <w:t>[Filed ARC 4344C</w:t>
      </w:r>
      <w:r>
        <w:rPr>
          <w:rFonts w:ascii="Times New Roman" w:hAnsi="Times New Roman"/>
          <w:b w:val="false"/>
          <w:i w:val="false"/>
          <w:color w:val="000000"/>
          <w:sz w:val="21"/>
        </w:rPr>
        <w:t xml:space="preserve"> (Notice ARC 4232C, IAB 1/16/19)</w:t>
      </w:r>
      <w:r>
        <w:rPr>
          <w:rFonts w:ascii="Times New Roman" w:hAnsi="Times New Roman"/>
          <w:b w:val="false"/>
          <w:i w:val="false"/>
          <w:color w:val="000000"/>
          <w:sz w:val="21"/>
        </w:rPr>
        <w:t>, IAB 3/13/19, effective 4/17/19]</w:t>
      </w:r>
    </w:p>
    <w:p>
      <w:pPr>
        <w:spacing w:before="0" w:after="0"/>
        <w:ind w:left="120"/>
        <w:jc w:val="center"/>
      </w:pPr>
      <w:r>
        <w:rPr>
          <w:rFonts w:ascii="Times New Roman" w:hAnsi="Times New Roman"/>
          <w:b w:val="false"/>
          <w:i w:val="false"/>
          <w:color w:val="000000"/>
          <w:sz w:val="21"/>
        </w:rPr>
        <w:t>[Filed ARC 4908C</w:t>
      </w:r>
      <w:r>
        <w:rPr>
          <w:rFonts w:ascii="Times New Roman" w:hAnsi="Times New Roman"/>
          <w:b w:val="false"/>
          <w:i w:val="false"/>
          <w:color w:val="000000"/>
          <w:sz w:val="21"/>
        </w:rPr>
        <w:t xml:space="preserve"> (Notice ARC 4736C, IAB 11/6/19)</w:t>
      </w:r>
      <w:r>
        <w:rPr>
          <w:rFonts w:ascii="Times New Roman" w:hAnsi="Times New Roman"/>
          <w:b w:val="false"/>
          <w:i w:val="false"/>
          <w:color w:val="000000"/>
          <w:sz w:val="21"/>
        </w:rPr>
        <w:t>, IAB 2/12/20, effective 3/18/20]</w:t>
      </w:r>
    </w:p>
    <w:p>
      <w:pPr>
        <w:spacing w:before="0" w:after="0"/>
        <w:ind w:left="120"/>
        <w:jc w:val="center"/>
      </w:pPr>
      <w:r>
        <w:rPr>
          <w:rFonts w:ascii="Times New Roman" w:hAnsi="Times New Roman"/>
          <w:b w:val="false"/>
          <w:i w:val="false"/>
          <w:color w:val="000000"/>
          <w:sz w:val="21"/>
        </w:rPr>
        <w:t>[Filed ARC 5344C</w:t>
      </w:r>
      <w:r>
        <w:rPr>
          <w:rFonts w:ascii="Times New Roman" w:hAnsi="Times New Roman"/>
          <w:b w:val="false"/>
          <w:i w:val="false"/>
          <w:color w:val="000000"/>
          <w:sz w:val="21"/>
        </w:rPr>
        <w:t xml:space="preserve"> (Notice ARC 5232C, IAB 10/21/20)</w:t>
      </w:r>
      <w:r>
        <w:rPr>
          <w:rFonts w:ascii="Times New Roman" w:hAnsi="Times New Roman"/>
          <w:b w:val="false"/>
          <w:i w:val="false"/>
          <w:color w:val="000000"/>
          <w:sz w:val="21"/>
        </w:rPr>
        <w:t>, IAB 12/30/20, effective 2/3/21]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34.pdf" Type="http://schemas.openxmlformats.org/officeDocument/2006/relationships/hyperlink" Id="rId5"/>
    <Relationship TargetMode="External" Target="https://www.legis.iowa.gov/docs/ico/chapter/321.105.pdf" Type="http://schemas.openxmlformats.org/officeDocument/2006/relationships/hyperlink" Id="rId6"/>
    <Relationship TargetMode="External" Target="https://www.legis.iowa.gov/docs/ico/chapter/321.34.pdf" Type="http://schemas.openxmlformats.org/officeDocument/2006/relationships/hyperlink" Id="rId7"/>
    <Relationship TargetMode="External" Target="https://www.legis.iowa.gov/docs/ico/chapter/321.105.pdf" Type="http://schemas.openxmlformats.org/officeDocument/2006/relationships/hyperlink" Id="rId8"/>
    <Relationship TargetMode="External" Target="http://www.iowadot.gov" Type="http://schemas.openxmlformats.org/officeDocument/2006/relationships/hyperlink" Id="rId9"/>
    <Relationship TargetMode="External" Target="https://www.legis.iowa.gov/docs/ico/chapter/321.34.pdf" Type="http://schemas.openxmlformats.org/officeDocument/2006/relationships/hyperlink" Id="rId10"/>
    <Relationship TargetMode="External" Target="https://www.legis.iowa.gov/docs/ico/chapter/321.pdf" Type="http://schemas.openxmlformats.org/officeDocument/2006/relationships/hyperlink" Id="rId11"/>
    <Relationship TargetMode="External" Target="https://www.legis.iowa.gov/docs/iac/rule/761.401.6.pdf" Type="http://schemas.openxmlformats.org/officeDocument/2006/relationships/hyperlink" Id="rId12"/>
    <Relationship TargetMode="External" Target="https://www.legis.iowa.gov/docs/iac/rule/641.132.1.pdf" Type="http://schemas.openxmlformats.org/officeDocument/2006/relationships/hyperlink" Id="rId13"/>
    <Relationship TargetMode="External" Target="https://www.legis.iowa.gov/docs/iac/rule/761.401.6.pdf" Type="http://schemas.openxmlformats.org/officeDocument/2006/relationships/hyperlink" Id="rId14"/>
    <Relationship TargetMode="External" Target="https://www.legis.iowa.gov/docs/ico/chapter/321.34.pdf" Type="http://schemas.openxmlformats.org/officeDocument/2006/relationships/hyperlink" Id="rId15"/>
    <Relationship TargetMode="External" Target="https://www.legis.iowa.gov/docs/ico/chapter/321.105.pdf" Type="http://schemas.openxmlformats.org/officeDocument/2006/relationships/hyperlink" Id="rId16"/>
    <Relationship TargetMode="External" Target="https://www.legis.iowa.gov/docs/ico/chapter/321.166.pdf" Type="http://schemas.openxmlformats.org/officeDocument/2006/relationships/hyperlink" Id="rId17"/>
    <Relationship TargetMode="External" Target="https://www.legis.iowa.gov/docs/iac/rule/761.401.6.pdf" Type="http://schemas.openxmlformats.org/officeDocument/2006/relationships/hyperlink" Id="rId18"/>
    <Relationship TargetMode="External" Target="https://www.legis.iowa.gov/docs/ico/chapter/321.34.pdf" Type="http://schemas.openxmlformats.org/officeDocument/2006/relationships/hyperlink" Id="rId19"/>
    <Relationship TargetMode="External" Target="https://www.legis.iowa.gov/docs/ico/chapter/321.34.pdf" Type="http://schemas.openxmlformats.org/officeDocument/2006/relationships/hyperlink" Id="rId20"/>
    <Relationship TargetMode="External" Target="https://www.legis.iowa.gov/docs/ico/chapter/321.34.pdf" Type="http://schemas.openxmlformats.org/officeDocument/2006/relationships/hyperlink" Id="rId21"/>
    <Relationship TargetMode="External" Target="https://www.legis.iowa.gov/docs/ico/chapter/321.34.pdf" Type="http://schemas.openxmlformats.org/officeDocument/2006/relationships/hyperlink" Id="rId22"/>
    <Relationship TargetMode="External" Target="https://www.legis.iowa.gov/docs/ico/chapter/321.34.pdf" Type="http://schemas.openxmlformats.org/officeDocument/2006/relationships/hyperlink" Id="rId23"/>
    <Relationship TargetMode="External" Target="https://www.legis.iowa.gov/docs/ico/chapter/321.34.pdf" Type="http://schemas.openxmlformats.org/officeDocument/2006/relationships/hyperlink" Id="rId24"/>
    <Relationship TargetMode="External" Target="https://www.legis.iowa.gov/docs/ico/chapter/321.34.pdf" Type="http://schemas.openxmlformats.org/officeDocument/2006/relationships/hyperlink" Id="rId25"/>
    <Relationship TargetMode="External" Target="https://www.legis.iowa.gov/docs/ico/chapter/321.34.pdf" Type="http://schemas.openxmlformats.org/officeDocument/2006/relationships/hyperlink" Id="rId26"/>
    <Relationship TargetMode="External" Target="https://www.legis.iowa.gov/docs/iac/chapter/761.13.pdf" Type="http://schemas.openxmlformats.org/officeDocument/2006/relationships/hyperlink" Id="rId27"/>
    <Relationship TargetMode="External" Target="https://www.legis.iowa.gov/docs/ico/chapter/321.34.pdf" Type="http://schemas.openxmlformats.org/officeDocument/2006/relationships/hyperlink" Id="rId28"/>
    <Relationship TargetMode="External" Target="https://www.legis.iowa.gov/docs/ico/chapter/321.34.pdf" Type="http://schemas.openxmlformats.org/officeDocument/2006/relationships/hyperlink" Id="rId29"/>
    <Relationship TargetMode="External" Target="https://www.legis.iowa.gov/docs/iac/rule/761.401.6.pdf" Type="http://schemas.openxmlformats.org/officeDocument/2006/relationships/hyperlink" Id="rId30"/>
    <Relationship TargetMode="External" Target="https://www.legis.iowa.gov/docs/ico/chapter/321.34.pdf" Type="http://schemas.openxmlformats.org/officeDocument/2006/relationships/hyperlink" Id="rId31"/>
    <Relationship TargetMode="External" Target="https://www.legis.iowa.gov/docs/ico/chapter/321L.1.pdf" Type="http://schemas.openxmlformats.org/officeDocument/2006/relationships/hyperlink" Id="rId32"/>
    <Relationship TargetMode="External" Target="https://www.legis.iowa.gov/docs/iac/rule/761.401.34.pdf" Type="http://schemas.openxmlformats.org/officeDocument/2006/relationships/hyperlink" Id="rId33"/>
    <Relationship TargetMode="External" Target="https://www.legis.iowa.gov/docs/iac/rule/761.401.34.pdf" Type="http://schemas.openxmlformats.org/officeDocument/2006/relationships/hyperlink" Id="rId34"/>
    <Relationship TargetMode="External" Target="https://www.legis.iowa.gov/docs/iac/rule/761.401.34.pdf" Type="http://schemas.openxmlformats.org/officeDocument/2006/relationships/hyperlink" Id="rId35"/>
    <Relationship TargetMode="External" Target="https://www.legis.iowa.gov/docs/iac/rule/761.401.34.pdf" Type="http://schemas.openxmlformats.org/officeDocument/2006/relationships/hyperlink" Id="rId36"/>
    <Relationship TargetMode="External" Target="https://www.legis.iowa.gov/docs/iac/chapter/761.13.pdf" Type="http://schemas.openxmlformats.org/officeDocument/2006/relationships/hyperlink" Id="rId37"/>
    <Relationship TargetMode="External" Target="https://www.legis.iowa.gov/docs/ico/chapter/35A.11.pdf" Type="http://schemas.openxmlformats.org/officeDocument/2006/relationships/hyperlink" Id="rId38"/>
    <Relationship TargetMode="External" Target="https://www.legis.iowa.gov/docs/ico/chapter/321.34.pdf" Type="http://schemas.openxmlformats.org/officeDocument/2006/relationships/hyperlink" Id="rId39"/>
    <Relationship TargetMode="External" Target="https://www.legis.iowa.gov/docs/ico/chapter/321.105.pdf" Type="http://schemas.openxmlformats.org/officeDocument/2006/relationships/hyperlink" Id="rId40"/>
    <Relationship TargetMode="External" Target="https://www.legis.iowa.gov/docs/ico/chapter/321.166.pdf" Type="http://schemas.openxmlformats.org/officeDocument/2006/relationships/hyperlink" Id="rId41"/>
    <Relationship TargetMode="External" Target="https://www.legis.iowa.gov/docs/ico/chapter/321L.1.pdf" Type="http://schemas.openxmlformats.org/officeDocument/2006/relationships/hyperlink" Id="rId42"/>
    <Relationship TargetMode="External" Target="https://www.legis.iowa.gov/docs/ico/chapter/17A.pdf" Type="http://schemas.openxmlformats.org/officeDocument/2006/relationships/hyperlink" Id="rId4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