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w:t>
      </w:r>
    </w:p>
    <w:p>
      <w:pPr>
        <w:spacing w:before="0" w:after="0"/>
        <w:ind w:left="120"/>
        <w:jc w:val="center"/>
      </w:pPr>
      <w:r>
        <w:rPr>
          <w:rFonts w:ascii="Times New Roman" w:hAnsi="Times New Roman"/>
          <w:b w:val="false"/>
          <w:i w:val="false"/>
          <w:color w:val="000000"/>
          <w:sz w:val="21"/>
        </w:rPr>
        <w:t>COMPETITION WITH PRIVATE ENTERPRISE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761—25.1</w:t>
      </w:r>
      <w:r>
        <w:rPr>
          <w:rFonts w:ascii="Times New Roman" w:hAnsi="Times New Roman"/>
          <w:b/>
          <w:i w:val="false"/>
          <w:color w:val="000000"/>
          <w:sz w:val="22"/>
        </w:rPr>
        <w:t xml:space="preserve">(23A) </w:t>
      </w:r>
      <w:r>
        <w:rPr>
          <w:rFonts w:ascii="Times New Roman" w:hAnsi="Times New Roman"/>
          <w:b/>
          <w:i w:val="false"/>
          <w:color w:val="000000"/>
          <w:sz w:val="22"/>
        </w:rPr>
        <w:t xml:space="preserve">Interpretation. </w:t>
      </w:r>
      <w:r>
        <w:rPr>
          <w:rFonts w:ascii="Times New Roman" w:hAnsi="Times New Roman"/>
          <w:b w:val="false"/>
          <w:i w:val="false"/>
          <w:color w:val="000000"/>
          <w:sz w:val="22"/>
        </w:rPr>
        <w:t>This chapter shall not be interpreted to mean that the department must provide a good or service or will provide a good or service without qualification, restriction, or charge.</w:t>
      </w:r>
    </w:p>
    <w:p>
      <w:pPr>
        <w:spacing w:before="0" w:after="0"/>
        <w:ind w:left="120"/>
        <w:jc w:val="both"/>
      </w:pPr>
      <w:r>
        <w:rPr>
          <w:rFonts w:ascii="Times New Roman" w:hAnsi="Times New Roman"/>
          <w:b/>
          <w:i w:val="false"/>
          <w:color w:val="000000"/>
          <w:sz w:val="22"/>
        </w:rPr>
        <w:t>761—25.2</w:t>
      </w:r>
      <w:r>
        <w:rPr>
          <w:rFonts w:ascii="Times New Roman" w:hAnsi="Times New Roman"/>
          <w:b/>
          <w:i w:val="false"/>
          <w:color w:val="000000"/>
          <w:sz w:val="22"/>
        </w:rPr>
        <w:t xml:space="preserve">(23A) </w:t>
      </w:r>
      <w:r>
        <w:rPr>
          <w:rFonts w:ascii="Times New Roman" w:hAnsi="Times New Roman"/>
          <w:b/>
          <w:i w:val="false"/>
          <w:color w:val="000000"/>
          <w:sz w:val="22"/>
        </w:rPr>
        <w:t xml:space="preserve">Exemptions. </w:t>
      </w:r>
      <w:r>
        <w:rPr>
          <w:rFonts w:ascii="Times New Roman" w:hAnsi="Times New Roman"/>
          <w:b w:val="false"/>
          <w:i w:val="false"/>
          <w:color w:val="000000"/>
          <w:sz w:val="22"/>
        </w:rPr>
        <w:t xml:space="preserve">Activities related to the items listed in this rule are exempted from the provisions of Iowa Code section </w:t>
      </w:r>
      <w:hyperlink r:id="rId5">
        <w:r>
          <w:rPr>
            <w:rStyle w:val="Hyperlink"/>
            <w:rFonts w:ascii="Times New Roman" w:hAnsi="Times New Roman"/>
            <w:b w:val="false"/>
            <w:i w:val="false"/>
            <w:color w:val="000000"/>
            <w:sz w:val="22"/>
          </w:rPr>
          <w:t>23A.2, subsection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w:t>
      </w:r>
      <w:r>
        <w:rPr>
          <w:rFonts w:ascii="Times New Roman" w:hAnsi="Times New Roman"/>
          <w:b w:val="false"/>
          <w:i w:val="false"/>
          <w:color w:val="000000"/>
          <w:sz w:val="22"/>
        </w:rPr>
        <w:t> </w:t>
      </w:r>
      <w:r>
        <w:rPr>
          <w:rFonts w:ascii="Times New Roman" w:hAnsi="Times New Roman"/>
          <w:b w:val="false"/>
          <w:i w:val="false"/>
          <w:color w:val="000000"/>
          <w:sz w:val="22"/>
        </w:rPr>
        <w:t>Transportation-related printing, publications and electronically generated materials including, but not limited to: forms; brochures; booklets; manuals; directories; periodicals; county, city and state transportation maps; video and audio materials; computer tapes and discs; microfilm and other instructional and informative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25.2(2)</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records or other services provided to meet the requirements of Iowa Code chapter </w:t>
      </w:r>
      <w:hyperlink r:id="rId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w:t>
      </w:r>
      <w:r>
        <w:rPr>
          <w:rFonts w:ascii="Times New Roman" w:hAnsi="Times New Roman"/>
          <w:b w:val="false"/>
          <w:i w:val="false"/>
          <w:color w:val="000000"/>
          <w:sz w:val="22"/>
        </w:rPr>
        <w:t> </w:t>
      </w:r>
      <w:r>
        <w:rPr>
          <w:rFonts w:ascii="Times New Roman" w:hAnsi="Times New Roman"/>
          <w:b w:val="false"/>
          <w:i w:val="false"/>
          <w:color w:val="000000"/>
          <w:sz w:val="22"/>
        </w:rPr>
        <w:t>Transportation-related studies, planning and research.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25.2(4)</w:t>
      </w:r>
      <w:r>
        <w:rPr>
          <w:rFonts w:ascii="Times New Roman" w:hAnsi="Times New Roman"/>
          <w:b w:val="false"/>
          <w:i w:val="false"/>
          <w:color w:val="000000"/>
          <w:sz w:val="22"/>
        </w:rPr>
        <w:t> </w:t>
      </w:r>
      <w:r>
        <w:rPr>
          <w:rFonts w:ascii="Times New Roman" w:hAnsi="Times New Roman"/>
          <w:b w:val="false"/>
          <w:i w:val="false"/>
          <w:color w:val="000000"/>
          <w:sz w:val="22"/>
        </w:rPr>
        <w:t>Disposal of surplus, obsolete or junked materials and supplies and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25.2(5)</w:t>
      </w:r>
      <w:r>
        <w:rPr>
          <w:rFonts w:ascii="Times New Roman" w:hAnsi="Times New Roman"/>
          <w:b w:val="false"/>
          <w:i w:val="false"/>
          <w:color w:val="000000"/>
          <w:sz w:val="22"/>
        </w:rPr>
        <w:t> </w:t>
      </w:r>
      <w:r>
        <w:rPr>
          <w:rFonts w:ascii="Times New Roman" w:hAnsi="Times New Roman"/>
          <w:b w:val="false"/>
          <w:i w:val="false"/>
          <w:color w:val="000000"/>
          <w:sz w:val="22"/>
        </w:rPr>
        <w:t>Matters of intergovernmental cooperation. Cooperating with other government bodies does not involve providing goods or services to the public except in the broadest sense. The term “government bodies” includes regional transit systems. Activities which involve intergovernmental cooperation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Use or consumption of departmental facilities, equipment, materials or supplies by other government bodies, including loans, rentals and sales of equipment, materials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Services provided to or performed for other government bodies. These services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Vehicle maintenance and repair services provided to other state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Purchasing services provided to other government bodies.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Purchases made by other government bodies through state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Disposal of surplus, obsolete or junked materials and supplies and equipment belonging to other state agencies, counties or cities.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 services performed for government bodies. These services cover a wide range of activities and are performed primarily for county and city highway departments, agencies having park or institutional roads, county treasurers, public transit systems, publicly owned airports, law enforcement agencies, regional planning agencies, and transportation-related boards.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25.2(6)</w:t>
      </w:r>
      <w:r>
        <w:rPr>
          <w:rFonts w:ascii="Times New Roman" w:hAnsi="Times New Roman"/>
          <w:b w:val="false"/>
          <w:i w:val="false"/>
          <w:color w:val="000000"/>
          <w:sz w:val="22"/>
        </w:rPr>
        <w:t> </w:t>
      </w:r>
      <w:r>
        <w:rPr>
          <w:rFonts w:ascii="Times New Roman" w:hAnsi="Times New Roman"/>
          <w:b w:val="false"/>
          <w:i w:val="false"/>
          <w:color w:val="000000"/>
          <w:sz w:val="22"/>
        </w:rPr>
        <w:t>Acquisition and disposal of land and improvements acquired for highways or facilities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25.2(7)</w:t>
      </w:r>
      <w:r>
        <w:rPr>
          <w:rFonts w:ascii="Times New Roman" w:hAnsi="Times New Roman"/>
          <w:b w:val="false"/>
          <w:i w:val="false"/>
          <w:color w:val="000000"/>
          <w:sz w:val="22"/>
        </w:rPr>
        <w:t> </w:t>
      </w:r>
      <w:r>
        <w:rPr>
          <w:rFonts w:ascii="Times New Roman" w:hAnsi="Times New Roman"/>
          <w:b w:val="false"/>
          <w:i w:val="false"/>
          <w:color w:val="000000"/>
          <w:sz w:val="22"/>
        </w:rPr>
        <w:t>Lease of right-of-way.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25.2(8)</w:t>
      </w:r>
      <w:r>
        <w:rPr>
          <w:rFonts w:ascii="Times New Roman" w:hAnsi="Times New Roman"/>
          <w:b w:val="false"/>
          <w:i w:val="false"/>
          <w:color w:val="000000"/>
          <w:sz w:val="22"/>
        </w:rPr>
        <w:t> </w:t>
      </w:r>
      <w:r>
        <w:rPr>
          <w:rFonts w:ascii="Times New Roman" w:hAnsi="Times New Roman"/>
          <w:b w:val="false"/>
          <w:i w:val="false"/>
          <w:color w:val="000000"/>
          <w:sz w:val="22"/>
        </w:rPr>
        <w:t>Design, construction, reconstruction, inspection and maintenance of highways including, but not limited to, signs erected in the right-of-way and acknowledgment signs used in the adopt-a-highway and highway helper sponsorship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25.2(9)</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3/13/19</w:t>
      </w:r>
      <w:r>
        <w:rPr>
          <w:rFonts w:ascii="Times New Roman" w:hAnsi="Times New Roman"/>
          <w:b w:val="false"/>
          <w:i w:val="false"/>
          <w:color w:val="000000"/>
          <w:sz w:val="22"/>
        </w:rPr>
        <w:t>, effective 4/17/19.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25.2(10)</w:t>
      </w:r>
      <w:r>
        <w:rPr>
          <w:rFonts w:ascii="Times New Roman" w:hAnsi="Times New Roman"/>
          <w:b w:val="false"/>
          <w:i w:val="false"/>
          <w:color w:val="000000"/>
          <w:sz w:val="22"/>
        </w:rPr>
        <w:t> </w:t>
      </w:r>
      <w:r>
        <w:rPr>
          <w:rFonts w:ascii="Times New Roman" w:hAnsi="Times New Roman"/>
          <w:b w:val="false"/>
          <w:i w:val="false"/>
          <w:color w:val="000000"/>
          <w:sz w:val="22"/>
        </w:rPr>
        <w:t>Use or consumption of specialized departmental equipment, materials, supplies or services to complete a contract with the department if the goods or services are not readily available on the open market and the department can provide the goods or services at a competitive price.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25.2(11)</w:t>
      </w:r>
      <w:r>
        <w:rPr>
          <w:rFonts w:ascii="Times New Roman" w:hAnsi="Times New Roman"/>
          <w:b w:val="false"/>
          <w:i w:val="false"/>
          <w:color w:val="000000"/>
          <w:sz w:val="22"/>
        </w:rPr>
        <w:t> </w:t>
      </w:r>
      <w:r>
        <w:rPr>
          <w:rFonts w:ascii="Times New Roman" w:hAnsi="Times New Roman"/>
          <w:b w:val="false"/>
          <w:i w:val="false"/>
          <w:color w:val="000000"/>
          <w:sz w:val="22"/>
        </w:rPr>
        <w:t>Use of departmental facilities to complete a contract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25.2(12)</w:t>
      </w:r>
      <w:r>
        <w:rPr>
          <w:rFonts w:ascii="Times New Roman" w:hAnsi="Times New Roman"/>
          <w:b w:val="false"/>
          <w:i w:val="false"/>
          <w:color w:val="000000"/>
          <w:sz w:val="22"/>
        </w:rPr>
        <w:t> </w:t>
      </w:r>
      <w:r>
        <w:rPr>
          <w:rFonts w:ascii="Times New Roman" w:hAnsi="Times New Roman"/>
          <w:b w:val="false"/>
          <w:i w:val="false"/>
          <w:color w:val="000000"/>
          <w:sz w:val="22"/>
        </w:rPr>
        <w:t>Activities related to emergencies including, but not limited to, providing assistance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25.2(13)</w:t>
      </w:r>
      <w:r>
        <w:rPr>
          <w:rFonts w:ascii="Times New Roman" w:hAnsi="Times New Roman"/>
          <w:b w:val="false"/>
          <w:i w:val="false"/>
          <w:color w:val="000000"/>
          <w:sz w:val="22"/>
        </w:rPr>
        <w:t> </w:t>
      </w:r>
      <w:r>
        <w:rPr>
          <w:rFonts w:ascii="Times New Roman" w:hAnsi="Times New Roman"/>
          <w:b w:val="false"/>
          <w:i w:val="false"/>
          <w:color w:val="000000"/>
          <w:sz w:val="22"/>
        </w:rPr>
        <w:t>Goods or services for use or consumption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25.2(14)</w:t>
      </w:r>
      <w:r>
        <w:rPr>
          <w:rFonts w:ascii="Times New Roman" w:hAnsi="Times New Roman"/>
          <w:b w:val="false"/>
          <w:i w:val="false"/>
          <w:color w:val="000000"/>
          <w:sz w:val="22"/>
        </w:rPr>
        <w:t> </w:t>
      </w:r>
      <w:r>
        <w:rPr>
          <w:rFonts w:ascii="Times New Roman" w:hAnsi="Times New Roman"/>
          <w:b w:val="false"/>
          <w:i w:val="false"/>
          <w:color w:val="000000"/>
          <w:sz w:val="22"/>
        </w:rPr>
        <w:t>Use of departmental facilities or services by persons providing services to or representing departmental employees including, but not limited to, the following services or persons: food, credit union and employee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25.2(15)</w:t>
      </w:r>
      <w:r>
        <w:rPr>
          <w:rFonts w:ascii="Times New Roman" w:hAnsi="Times New Roman"/>
          <w:b w:val="false"/>
          <w:i w:val="false"/>
          <w:color w:val="000000"/>
          <w:sz w:val="22"/>
        </w:rPr>
        <w:t> </w:t>
      </w:r>
      <w:r>
        <w:rPr>
          <w:rFonts w:ascii="Times New Roman" w:hAnsi="Times New Roman"/>
          <w:b w:val="false"/>
          <w:i w:val="false"/>
          <w:color w:val="000000"/>
          <w:sz w:val="22"/>
        </w:rPr>
        <w:t>Use of departmental conference rooms or grounds by civic groups and nonprofit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25.2(16)</w:t>
      </w:r>
      <w:r>
        <w:rPr>
          <w:rFonts w:ascii="Times New Roman" w:hAnsi="Times New Roman"/>
          <w:b w:val="false"/>
          <w:i w:val="false"/>
          <w:color w:val="000000"/>
          <w:sz w:val="22"/>
        </w:rPr>
        <w:t> </w:t>
      </w:r>
      <w:r>
        <w:rPr>
          <w:rFonts w:ascii="Times New Roman" w:hAnsi="Times New Roman"/>
          <w:b w:val="false"/>
          <w:i w:val="false"/>
          <w:color w:val="000000"/>
          <w:sz w:val="22"/>
        </w:rPr>
        <w:t>Personal protective items purchased by departmental employees through state contracts.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25.2(17)</w:t>
      </w:r>
      <w:r>
        <w:rPr>
          <w:rFonts w:ascii="Times New Roman" w:hAnsi="Times New Roman"/>
          <w:b w:val="false"/>
          <w:i w:val="false"/>
          <w:color w:val="000000"/>
          <w:sz w:val="22"/>
        </w:rPr>
        <w:t> </w:t>
      </w:r>
      <w:r>
        <w:rPr>
          <w:rFonts w:ascii="Times New Roman" w:hAnsi="Times New Roman"/>
          <w:b w:val="false"/>
          <w:i w:val="false"/>
          <w:color w:val="000000"/>
          <w:sz w:val="22"/>
        </w:rPr>
        <w:t>Goods or services promoting transportation or transportation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25.2(18)</w:t>
      </w:r>
      <w:r>
        <w:rPr>
          <w:rFonts w:ascii="Times New Roman" w:hAnsi="Times New Roman"/>
          <w:b w:val="false"/>
          <w:i w:val="false"/>
          <w:color w:val="000000"/>
          <w:sz w:val="22"/>
        </w:rPr>
        <w:t> </w:t>
      </w:r>
      <w:r>
        <w:rPr>
          <w:rFonts w:ascii="Times New Roman" w:hAnsi="Times New Roman"/>
          <w:b w:val="false"/>
          <w:i w:val="false"/>
          <w:color w:val="000000"/>
          <w:sz w:val="22"/>
        </w:rPr>
        <w:t>Any other activity permitted or required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0187C</w:t>
      </w:r>
      <w:r>
        <w:rPr>
          <w:rFonts w:ascii="Times New Roman" w:hAnsi="Times New Roman"/>
          <w:b w:val="false"/>
          <w:i w:val="false"/>
          <w:color w:val="000000"/>
          <w:sz w:val="16"/>
        </w:rPr>
        <w:t>, IAB 7/11/12, effective 8/15/12</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4341C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xml:space="preserve">; </w:t>
      </w:r>
      <w:r>
        <w:rPr>
          <w:rFonts w:ascii="Times New Roman" w:hAnsi="Times New Roman"/>
          <w:b/>
          <w:i w:val="false"/>
          <w:color w:val="000000"/>
          <w:sz w:val="16"/>
        </w:rPr>
        <w:t>ARC 5256C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23A.1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23A.2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2/23/89, Notice 1/11/89—published 3/22/89, effective 4/26/89]</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ARC 0187C</w:t>
      </w:r>
      <w:r>
        <w:rPr>
          <w:rFonts w:ascii="Times New Roman" w:hAnsi="Times New Roman"/>
          <w:b w:val="false"/>
          <w:i w:val="false"/>
          <w:color w:val="000000"/>
          <w:sz w:val="21"/>
        </w:rPr>
        <w:t xml:space="preserve"> (Notice ARC 0113C, IAB 5/2/12)</w:t>
      </w:r>
      <w:r>
        <w:rPr>
          <w:rFonts w:ascii="Times New Roman" w:hAnsi="Times New Roman"/>
          <w:b w:val="false"/>
          <w:i w:val="false"/>
          <w:color w:val="000000"/>
          <w:sz w:val="21"/>
        </w:rPr>
        <w:t>, IAB 7/11/12, effective 8/15/12]</w:t>
      </w:r>
    </w:p>
    <w:p>
      <w:pPr>
        <w:spacing w:before="0" w:after="0"/>
        <w:ind w:left="120"/>
        <w:jc w:val="center"/>
      </w:pPr>
      <w:r>
        <w:rPr>
          <w:rFonts w:ascii="Times New Roman" w:hAnsi="Times New Roman"/>
          <w:b w:val="false"/>
          <w:i w:val="false"/>
          <w:color w:val="000000"/>
          <w:sz w:val="21"/>
        </w:rPr>
        <w:t>[Filed ARC 4341C</w:t>
      </w:r>
      <w:r>
        <w:rPr>
          <w:rFonts w:ascii="Times New Roman" w:hAnsi="Times New Roman"/>
          <w:b w:val="false"/>
          <w:i w:val="false"/>
          <w:color w:val="000000"/>
          <w:sz w:val="21"/>
        </w:rPr>
        <w:t xml:space="preserve"> (Notice ARC 4236C, IAB 1/16/19)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5256C</w:t>
      </w:r>
      <w:r>
        <w:rPr>
          <w:rFonts w:ascii="Times New Roman" w:hAnsi="Times New Roman"/>
          <w:b w:val="false"/>
          <w:i w:val="false"/>
          <w:color w:val="000000"/>
          <w:sz w:val="21"/>
        </w:rPr>
        <w:t xml:space="preserve"> (Notice ARC 5122C, IAB 8/12/20)</w:t>
      </w:r>
      <w:r>
        <w:rPr>
          <w:rFonts w:ascii="Times New Roman" w:hAnsi="Times New Roman"/>
          <w:b w:val="false"/>
          <w:i w:val="false"/>
          <w:color w:val="000000"/>
          <w:sz w:val="21"/>
        </w:rPr>
        <w:t>, IAB 11/4/20, effective 12/9/20]</w:t>
      </w:r>
    </w:p>
    <w:p>
      <w:pPr>
        <w:pBdr>
          <w:bottom w:space="2"/>
        </w:pBdr>
        <w:spacing w:before="0" w:after="0"/>
        <w:ind w:left="120"/>
        <w:jc w:val="both"/>
      </w:pPr>
      <w:r>
        <w:rPr>
          <w:rFonts w:ascii="Times New Roman" w:hAnsi="Times New Roman"/>
          <w:b w:val="false"/>
          <w:i w:val="false"/>
          <w:color w:val="000000"/>
          <w:sz w:val="22"/>
        </w:rPr>
        <w:t>August 15, 2012, effective date of 25.2(8) [ARC 0187C] delayed 70 days by the Administrative Rules Review Committee at its meeting held August 14, 2012. At its meeting held September 11, 2012, the Committee delayed the effective date until adjournment of the 2013 Session of the General Assembly.</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A.2.pdf" Type="http://schemas.openxmlformats.org/officeDocument/2006/relationships/hyperlink" Id="rId5"/>
    <Relationship TargetMode="External" Target="https://www.legis.iowa.gov/docs/ico/chapter/22.pdf" Type="http://schemas.openxmlformats.org/officeDocument/2006/relationships/hyperlink" Id="rId6"/>
    <Relationship TargetMode="External" Target="https://www.legis.iowa.gov/docs/ico/chapter/23A.1.pdf" Type="http://schemas.openxmlformats.org/officeDocument/2006/relationships/hyperlink" Id="rId7"/>
    <Relationship TargetMode="External" Target="https://www.legis.iowa.gov/docs/ico/chapter/23A.2.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