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181</w:t>
      </w:r>
    </w:p>
    <w:p>
      <w:pPr>
        <w:spacing w:before="0" w:after="0"/>
        <w:ind w:left="120"/>
        <w:jc w:val="center"/>
      </w:pPr>
      <w:r>
        <w:rPr>
          <w:rFonts w:ascii="Times New Roman" w:hAnsi="Times New Roman"/>
          <w:b w:val="false"/>
          <w:i w:val="false"/>
          <w:color w:val="000000"/>
          <w:sz w:val="21"/>
        </w:rPr>
        <w:t>STATEWIDE STANDARD FOR PERMITTING</w:t>
      </w:r>
      <w:r>
        <w:br/>
      </w:r>
      <w:r>
        <w:rPr>
          <w:rFonts w:ascii="Times New Roman" w:hAnsi="Times New Roman"/>
          <w:b w:val="false"/>
          <w:i w:val="false"/>
          <w:color w:val="000000"/>
          <w:sz w:val="21"/>
        </w:rPr>
        <w:t>CERTAIN IMPLEMENTS OF HUSBANDRY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761—181.1</w:t>
      </w:r>
      <w:r>
        <w:rPr>
          <w:rFonts w:ascii="Times New Roman" w:hAnsi="Times New Roman"/>
          <w:b/>
          <w:i w:val="false"/>
          <w:color w:val="000000"/>
          <w:sz w:val="22"/>
        </w:rPr>
        <w:t xml:space="preserve">(321) </w:t>
      </w:r>
      <w:r>
        <w:rPr>
          <w:rFonts w:ascii="Times New Roman" w:hAnsi="Times New Roman"/>
          <w:b/>
          <w:i w:val="false"/>
          <w:color w:val="000000"/>
          <w:sz w:val="22"/>
        </w:rPr>
        <w:t xml:space="preserve">Statewide standard.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181.1(1)</w:t>
      </w:r>
      <w:r>
        <w:rPr>
          <w:rFonts w:ascii="Times New Roman" w:hAnsi="Times New Roman"/>
          <w:b w:val="false"/>
          <w:i w:val="false"/>
          <w:color w:val="000000"/>
          <w:sz w:val="22"/>
        </w:rPr>
        <w:t> </w:t>
      </w:r>
      <w:r>
        <w:rPr>
          <w:rFonts w:ascii="Times New Roman" w:hAnsi="Times New Roman"/>
          <w:b w:val="false"/>
          <w:i w:val="false"/>
          <w:color w:val="000000"/>
          <w:sz w:val="22"/>
        </w:rPr>
        <w:t>Special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local authority may issue a special permit, based on this rule, allowing the operation over a bridge within its jurisdiction of a fence-line feeder, grain cart, tank wagon or tracked implement of husbandry with a weight in excess of the weights allowed under Iowa Code chapter </w:t>
      </w:r>
      <w:hyperlink r:id="rId5">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local authority may issue a special permit, based on this rule, allowing the operation over a bridge within its jurisdiction of a self-propelled implement of husbandry used exclusively for the application of organic or inorganic plant food materials, agricultural limestone or agricultural chemicals with a weight in excess of weight limitations established by the local authority by ordinance or resolution but within the weight limitations imposed by Iowa Code chapter </w:t>
      </w:r>
      <w:hyperlink r:id="rId6">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181.1(2)</w:t>
      </w:r>
      <w:r>
        <w:rPr>
          <w:rFonts w:ascii="Times New Roman" w:hAnsi="Times New Roman"/>
          <w:b w:val="false"/>
          <w:i w:val="false"/>
          <w:color w:val="000000"/>
          <w:sz w:val="22"/>
        </w:rPr>
        <w:t> </w:t>
      </w:r>
      <w:r>
        <w:rPr>
          <w:rFonts w:ascii="Times New Roman" w:hAnsi="Times New Roman"/>
          <w:b w:val="false"/>
          <w:i w:val="false"/>
          <w:color w:val="000000"/>
          <w:sz w:val="22"/>
        </w:rPr>
        <w:t xml:space="preserve">A local authority shall evaluate a bridge according to section 6 of the American Association of State Highway and Transportation Officials (AASHTO) Manual for Bridge Evaluation (MBE), Third Edition (2018). The operating level shall be used for the evaluation of the bridge with only one fence-line feeder, grain cart, tank wagon, self-propelled implement of husbandry as fully described in </w:t>
      </w:r>
      <w:hyperlink r:id="rId7">
        <w:r>
          <w:rPr>
            <w:rStyle w:val="Hyperlink"/>
            <w:rFonts w:ascii="Times New Roman" w:hAnsi="Times New Roman"/>
            <w:b w:val="false"/>
            <w:i w:val="false"/>
            <w:color w:val="000000"/>
            <w:sz w:val="22"/>
          </w:rPr>
          <w:t>paragraph 181.1(1)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tracked implement of husbandry on the bridge at a time. The live load to be used in the analysis for permit decisions should be the actual vehicle crossing the bridge, together with a dynamic load allowance in accordance with section 6A.4.4.3 or 6A.4.5.5 of the AASHTO MBE, Third Edition (2018).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181.1(3)</w:t>
      </w:r>
      <w:r>
        <w:rPr>
          <w:rFonts w:ascii="Times New Roman" w:hAnsi="Times New Roman"/>
          <w:b w:val="false"/>
          <w:i w:val="false"/>
          <w:color w:val="000000"/>
          <w:sz w:val="22"/>
        </w:rPr>
        <w:t> </w:t>
      </w:r>
      <w:r>
        <w:rPr>
          <w:rFonts w:ascii="Times New Roman" w:hAnsi="Times New Roman"/>
          <w:b w:val="false"/>
          <w:i w:val="false"/>
          <w:color w:val="000000"/>
          <w:sz w:val="22"/>
        </w:rPr>
        <w:t>A local authority is not liable for damage to any vehicle operating within the terms of a permit the local authority issues under this rule, or to the vehicle’s cargo, if the local authority imposes weight limits on a bridge specified in the permit subsequent to the issuance of the permit. The weight limits are effective when signs giving notice of the limits are erected.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AASHTO publication may be ordered from the website </w:t>
      </w:r>
      <w:hyperlink r:id="rId8">
        <w:r>
          <w:rPr>
            <w:rStyle w:val="Hyperlink"/>
            <w:rFonts w:ascii="Times New Roman" w:hAnsi="Times New Roman"/>
            <w:b w:val="false"/>
            <w:i w:val="false"/>
            <w:color w:val="000000"/>
            <w:sz w:val="22"/>
            <w:u w:val="single"/>
          </w:rPr>
          <w:t>www.transportation.org</w:t>
        </w:r>
      </w:hyperlink>
      <w:r>
        <w:rPr>
          <w:rFonts w:ascii="Times New Roman" w:hAnsi="Times New Roman"/>
          <w:b w:val="false"/>
          <w:i w:val="false"/>
          <w:color w:val="000000"/>
          <w:sz w:val="22"/>
        </w:rPr>
        <w:t>. The publication may be inspected at the department’s bridges and structures bureau.</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321.463(4)</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321.471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1451C</w:t>
      </w:r>
      <w:r>
        <w:rPr>
          <w:rFonts w:ascii="Times New Roman" w:hAnsi="Times New Roman"/>
          <w:b w:val="false"/>
          <w:i w:val="false"/>
          <w:color w:val="000000"/>
          <w:sz w:val="16"/>
        </w:rPr>
        <w:t>, IAB 4/30/14, effective 6/4/14</w:t>
      </w:r>
      <w:r>
        <w:rPr>
          <w:rFonts w:ascii="Times New Roman" w:hAnsi="Times New Roman"/>
          <w:b w:val="false"/>
          <w:i w:val="false"/>
          <w:color w:val="000000"/>
          <w:sz w:val="16"/>
        </w:rPr>
        <w:t xml:space="preserve">; </w:t>
      </w:r>
      <w:r>
        <w:rPr>
          <w:rFonts w:ascii="Times New Roman" w:hAnsi="Times New Roman"/>
          <w:b/>
          <w:i w:val="false"/>
          <w:color w:val="000000"/>
          <w:sz w:val="16"/>
        </w:rPr>
        <w:t>ARC 4400C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 xml:space="preserve">; </w:t>
      </w:r>
      <w:r>
        <w:rPr>
          <w:rFonts w:ascii="Times New Roman" w:hAnsi="Times New Roman"/>
          <w:b/>
          <w:i w:val="false"/>
          <w:color w:val="000000"/>
          <w:sz w:val="16"/>
        </w:rPr>
        <w:t>ARC 5202C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10/24/01, Notice 9/19/01—published 11/14/01, effective 12/19/01]</w:t>
      </w:r>
    </w:p>
    <w:p>
      <w:pPr>
        <w:spacing w:before="0" w:after="0"/>
        <w:ind w:left="120"/>
        <w:jc w:val="center"/>
      </w:pPr>
      <w:r>
        <w:rPr>
          <w:rFonts w:ascii="Times New Roman" w:hAnsi="Times New Roman"/>
          <w:b w:val="false"/>
          <w:i w:val="false"/>
          <w:color w:val="000000"/>
          <w:sz w:val="21"/>
        </w:rPr>
        <w:t>[Filed ARC 1451C</w:t>
      </w:r>
      <w:r>
        <w:rPr>
          <w:rFonts w:ascii="Times New Roman" w:hAnsi="Times New Roman"/>
          <w:b w:val="false"/>
          <w:i w:val="false"/>
          <w:color w:val="000000"/>
          <w:sz w:val="21"/>
        </w:rPr>
        <w:t xml:space="preserve"> (Notice ARC 1350C, IAB 3/5/14)</w:t>
      </w:r>
      <w:r>
        <w:rPr>
          <w:rFonts w:ascii="Times New Roman" w:hAnsi="Times New Roman"/>
          <w:b w:val="false"/>
          <w:i w:val="false"/>
          <w:color w:val="000000"/>
          <w:sz w:val="21"/>
        </w:rPr>
        <w:t>, IAB 4/30/14, effective 6/4/14]</w:t>
      </w:r>
    </w:p>
    <w:p>
      <w:pPr>
        <w:spacing w:before="0" w:after="0"/>
        <w:ind w:left="120"/>
        <w:jc w:val="center"/>
      </w:pPr>
      <w:r>
        <w:rPr>
          <w:rFonts w:ascii="Times New Roman" w:hAnsi="Times New Roman"/>
          <w:b w:val="false"/>
          <w:i w:val="false"/>
          <w:color w:val="000000"/>
          <w:sz w:val="21"/>
        </w:rPr>
        <w:t>[Filed ARC 4400C</w:t>
      </w:r>
      <w:r>
        <w:rPr>
          <w:rFonts w:ascii="Times New Roman" w:hAnsi="Times New Roman"/>
          <w:b w:val="false"/>
          <w:i w:val="false"/>
          <w:color w:val="000000"/>
          <w:sz w:val="21"/>
        </w:rPr>
        <w:t xml:space="preserve"> (Notice ARC 4257C, IAB 1/30/19)</w:t>
      </w:r>
      <w:r>
        <w:rPr>
          <w:rFonts w:ascii="Times New Roman" w:hAnsi="Times New Roman"/>
          <w:b w:val="false"/>
          <w:i w:val="false"/>
          <w:color w:val="000000"/>
          <w:sz w:val="21"/>
        </w:rPr>
        <w:t>, IAB 4/10/19, effective 5/15/19]</w:t>
      </w:r>
    </w:p>
    <w:p>
      <w:pPr>
        <w:spacing w:before="0" w:after="0"/>
        <w:ind w:left="120"/>
        <w:jc w:val="center"/>
      </w:pPr>
      <w:r>
        <w:rPr>
          <w:rFonts w:ascii="Times New Roman" w:hAnsi="Times New Roman"/>
          <w:b w:val="false"/>
          <w:i w:val="false"/>
          <w:color w:val="000000"/>
          <w:sz w:val="21"/>
        </w:rPr>
        <w:t>[Filed ARC 5202C</w:t>
      </w:r>
      <w:r>
        <w:rPr>
          <w:rFonts w:ascii="Times New Roman" w:hAnsi="Times New Roman"/>
          <w:b w:val="false"/>
          <w:i w:val="false"/>
          <w:color w:val="000000"/>
          <w:sz w:val="21"/>
        </w:rPr>
        <w:t xml:space="preserve"> (Notice ARC 5081C, IAB 7/15/20)</w:t>
      </w:r>
      <w:r>
        <w:rPr>
          <w:rFonts w:ascii="Times New Roman" w:hAnsi="Times New Roman"/>
          <w:b w:val="false"/>
          <w:i w:val="false"/>
          <w:color w:val="000000"/>
          <w:sz w:val="21"/>
        </w:rPr>
        <w:t>, IAB 10/7/20, effective 11/11/20]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pdf" Type="http://schemas.openxmlformats.org/officeDocument/2006/relationships/hyperlink" Id="rId5"/>
    <Relationship TargetMode="External" Target="https://www.legis.iowa.gov/docs/ico/chapter/321.pdf" Type="http://schemas.openxmlformats.org/officeDocument/2006/relationships/hyperlink" Id="rId6"/>
    <Relationship TargetMode="External" Target="https://www.legis.iowa.gov/docs/iac/rule/761.181.1.pdf" Type="http://schemas.openxmlformats.org/officeDocument/2006/relationships/hyperlink" Id="rId7"/>
    <Relationship TargetMode="External" Target="http://www.transportation.org" Type="http://schemas.openxmlformats.org/officeDocument/2006/relationships/hyperlink" Id="rId8"/>
    <Relationship TargetMode="External" Target="https://www.legis.iowa.gov/docs/ico/chapter/321.1.pdf" Type="http://schemas.openxmlformats.org/officeDocument/2006/relationships/hyperlink" Id="rId9"/>
    <Relationship TargetMode="External" Target="https://www.legis.iowa.gov/docs/ico/chapter/321.463.pdf" Type="http://schemas.openxmlformats.org/officeDocument/2006/relationships/hyperlink" Id="rId10"/>
    <Relationship TargetMode="External" Target="https://www.legis.iowa.gov/docs/ico/chapter/321.471.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