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178</w:t>
      </w:r>
    </w:p>
    <w:p>
      <w:pPr>
        <w:spacing w:before="0" w:after="0"/>
        <w:ind w:left="120"/>
        <w:jc w:val="center"/>
      </w:pPr>
      <w:r>
        <w:rPr>
          <w:rFonts w:ascii="Times New Roman" w:hAnsi="Times New Roman"/>
          <w:b w:val="false"/>
          <w:i w:val="false"/>
          <w:color w:val="000000"/>
          <w:sz w:val="21"/>
        </w:rPr>
        <w:t>PROJECT COST REPORTING REQUIREMENTS</w:t>
      </w:r>
      <w:r>
        <w:br/>
      </w:r>
      <w:r>
        <w:rPr>
          <w:rFonts w:ascii="Times New Roman" w:hAnsi="Times New Roman"/>
          <w:b w:val="false"/>
          <w:i w:val="false"/>
          <w:color w:val="000000"/>
          <w:sz w:val="21"/>
        </w:rPr>
        <w:t>FOR CITIES AND COUNTIES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761—178.1</w:t>
      </w:r>
      <w:r>
        <w:rPr>
          <w:rFonts w:ascii="Times New Roman" w:hAnsi="Times New Roman"/>
          <w:b/>
          <w:i w:val="false"/>
          <w:color w:val="000000"/>
          <w:sz w:val="22"/>
        </w:rPr>
        <w:t xml:space="preserve">(314)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establish requirements for the reporting by cities and counties of project cost information to the department, in accordance with Iowa Code section </w:t>
      </w:r>
      <w:hyperlink r:id="rId5">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761—178.2</w:t>
      </w:r>
      <w:r>
        <w:rPr>
          <w:rFonts w:ascii="Times New Roman" w:hAnsi="Times New Roman"/>
          <w:b/>
          <w:i w:val="false"/>
          <w:color w:val="000000"/>
          <w:sz w:val="22"/>
        </w:rPr>
        <w:t xml:space="preserve">(314)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Questions regarding this chapter may be directed to the Office of Local Systems, Iowa Department of Transportation, 800 Lincoln Way, Ames, Iowa 50010.</w:t>
      </w:r>
    </w:p>
    <w:p>
      <w:pPr>
        <w:spacing w:before="0" w:after="0"/>
        <w:ind w:left="120"/>
        <w:jc w:val="both"/>
      </w:pPr>
      <w:r>
        <w:rPr>
          <w:rFonts w:ascii="Times New Roman" w:hAnsi="Times New Roman"/>
          <w:b/>
          <w:i w:val="false"/>
          <w:color w:val="000000"/>
          <w:sz w:val="22"/>
        </w:rPr>
        <w:t>761—178.3</w:t>
      </w:r>
      <w:r>
        <w:rPr>
          <w:rFonts w:ascii="Times New Roman" w:hAnsi="Times New Roman"/>
          <w:b/>
          <w:i w:val="false"/>
          <w:color w:val="000000"/>
          <w:sz w:val="22"/>
        </w:rPr>
        <w:t xml:space="preserve">(314)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“City” </w:t>
      </w:r>
      <w:r>
        <w:rPr>
          <w:rFonts w:ascii="Times New Roman" w:hAnsi="Times New Roman"/>
          <w:b w:val="false"/>
          <w:i w:val="false"/>
          <w:color w:val="000000"/>
          <w:sz w:val="22"/>
        </w:rPr>
        <w:t xml:space="preserve">means a municipal corporation as defined in Iowa Code section </w:t>
      </w:r>
      <w:hyperlink r:id="rId6">
        <w:r>
          <w:rPr>
            <w:rStyle w:val="Hyperlink"/>
            <w:rFonts w:ascii="Times New Roman" w:hAnsi="Times New Roman"/>
            <w:b w:val="false"/>
            <w:i w:val="false"/>
            <w:color w:val="000000"/>
            <w:sz w:val="22"/>
          </w:rPr>
          <w:t>312.8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the building or development of a road, street, bridge or culvert in a new location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new location deviates substantially from the existing alignment,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result is an entirely new road or street for the greater part of the length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labor” </w:t>
      </w:r>
      <w:r>
        <w:rPr>
          <w:rFonts w:ascii="Times New Roman" w:hAnsi="Times New Roman"/>
          <w:b w:val="false"/>
          <w:i w:val="false"/>
          <w:color w:val="000000"/>
          <w:sz w:val="22"/>
        </w:rPr>
        <w:t>means road, street, bridge or culvert work performed by permanent or temporary city or county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“Improvement” </w:t>
      </w:r>
      <w:r>
        <w:rPr>
          <w:rFonts w:ascii="Times New Roman" w:hAnsi="Times New Roman"/>
          <w:b w:val="false"/>
          <w:i w:val="false"/>
          <w:color w:val="000000"/>
          <w:sz w:val="22"/>
        </w:rPr>
        <w:t>means a betterment to a road, street, bridge or culvert. The work increases the value of the facility and enhances the facility, its traffic operations or its safety beyond the original design. The work would not be so extensive as to be classified as construction or reconstruction, but it could involve rehabilitation, restoration or resurfacing (3R)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means a significant change to the existing type of road, street, bridge or culvert or its geometric or structural features. Some realignment and the use of current design criteria may be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or maintenance” </w:t>
      </w:r>
      <w:r>
        <w:rPr>
          <w:rFonts w:ascii="Times New Roman" w:hAnsi="Times New Roman"/>
          <w:b w:val="false"/>
          <w:i w:val="false"/>
          <w:color w:val="000000"/>
          <w:sz w:val="22"/>
        </w:rPr>
        <w:t>means the preservation of a road, street, bridge or culvert so that it is in sound or proper condition. The work may include minor replacements and additions necessary to restore the road, street, bridge or culvert to its originally built condition with essentially the same design.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761—178.4</w:t>
      </w:r>
      <w:r>
        <w:rPr>
          <w:rFonts w:ascii="Times New Roman" w:hAnsi="Times New Roman"/>
          <w:b/>
          <w:i w:val="false"/>
          <w:color w:val="000000"/>
          <w:sz w:val="22"/>
        </w:rPr>
        <w:t xml:space="preserve">(314) </w:t>
      </w:r>
      <w:r>
        <w:rPr>
          <w:rFonts w:ascii="Times New Roman" w:hAnsi="Times New Roman"/>
          <w:b/>
          <w:i w:val="false"/>
          <w:color w:val="000000"/>
          <w:sz w:val="22"/>
        </w:rPr>
        <w:t xml:space="preserve">Detailed instructions furnished to cities and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178.4(1)</w:t>
      </w:r>
      <w:r>
        <w:rPr>
          <w:rFonts w:ascii="Times New Roman" w:hAnsi="Times New Roman"/>
          <w:b w:val="false"/>
          <w:i w:val="false"/>
          <w:color w:val="000000"/>
          <w:sz w:val="22"/>
        </w:rPr>
        <w:t> </w:t>
      </w:r>
      <w:r>
        <w:rPr>
          <w:rFonts w:ascii="Times New Roman" w:hAnsi="Times New Roman"/>
          <w:b w:val="false"/>
          <w:i w:val="false"/>
          <w:color w:val="000000"/>
          <w:sz w:val="22"/>
        </w:rPr>
        <w:t>Each year the department shall provide to cities and counties a set of detailed instructions for reporting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of day labor and contracts for construction, reconstruction, and improvement projects on the farm-to-market, secondary road and municipal street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purchasing, leasing, and renting construction and maintenance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this equipment for construction, reconstruction, and improvement projects on the farm-to-market, secondary road and municipal street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instructions constitute the form, content and method of preparation acceptable to the department. Cities and counties shall include this information in the annual reports they submit to the department under Iowa Code sections </w:t>
      </w:r>
      <w:hyperlink r:id="rId8">
        <w:r>
          <w:rPr>
            <w:rStyle w:val="Hyperlink"/>
            <w:rFonts w:ascii="Times New Roman" w:hAnsi="Times New Roman"/>
            <w:b w:val="false"/>
            <w:i w:val="false"/>
            <w:color w:val="000000"/>
            <w:sz w:val="22"/>
          </w:rPr>
          <w:t>309.22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312.14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761—178.5</w:t>
      </w:r>
      <w:r>
        <w:rPr>
          <w:rFonts w:ascii="Times New Roman" w:hAnsi="Times New Roman"/>
          <w:b/>
          <w:i w:val="false"/>
          <w:color w:val="000000"/>
          <w:sz w:val="22"/>
        </w:rPr>
        <w:t xml:space="preserve">(314) </w:t>
      </w:r>
      <w:r>
        <w:rPr>
          <w:rFonts w:ascii="Times New Roman" w:hAnsi="Times New Roman"/>
          <w:b/>
          <w:i w:val="false"/>
          <w:color w:val="000000"/>
          <w:sz w:val="22"/>
        </w:rPr>
        <w:t xml:space="preserve">Project reporting. </w:t>
      </w:r>
      <w:r>
        <w:rPr>
          <w:rFonts w:ascii="Times New Roman" w:hAnsi="Times New Roman"/>
          <w:b w:val="false"/>
          <w:i w:val="false"/>
          <w:color w:val="000000"/>
          <w:sz w:val="22"/>
        </w:rPr>
        <w:t xml:space="preserve">Reporting under Iowa Code section </w:t>
      </w:r>
      <w:hyperlink r:id="rId10">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 xml:space="preserve"> of projects accomplished by day labor or contract is required for any construction, reconstruction or improvement project that has a total cost of 90 percent or more of the applicable bid threshold. Other reporting requirements set out in the Iowa Code still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178.5(1)</w:t>
      </w:r>
      <w:r>
        <w:rPr>
          <w:rFonts w:ascii="Times New Roman" w:hAnsi="Times New Roman"/>
          <w:b w:val="false"/>
          <w:i w:val="false"/>
          <w:color w:val="000000"/>
          <w:sz w:val="22"/>
        </w:rPr>
        <w:t> </w:t>
      </w:r>
      <w:r>
        <w:rPr>
          <w:rFonts w:ascii="Times New Roman" w:hAnsi="Times New Roman"/>
          <w:b w:val="false"/>
          <w:i/>
          <w:color w:val="000000"/>
          <w:sz w:val="22"/>
        </w:rPr>
        <w:t xml:space="preserve">Types of projects. </w:t>
      </w:r>
      <w:r>
        <w:rPr>
          <w:rFonts w:ascii="Times New Roman" w:hAnsi="Times New Roman"/>
          <w:b w:val="false"/>
          <w:i w:val="false"/>
          <w:color w:val="000000"/>
          <w:sz w:val="22"/>
        </w:rPr>
        <w:t>Project type shall be identified. The project types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Bridge. </w:t>
      </w:r>
      <w:r>
        <w:rPr>
          <w:rFonts w:ascii="Times New Roman" w:hAnsi="Times New Roman"/>
          <w:b w:val="false"/>
          <w:i w:val="false"/>
          <w:color w:val="000000"/>
          <w:sz w:val="22"/>
        </w:rPr>
        <w:t xml:space="preserve">The definition of “bridge” in Iowa Code section </w:t>
      </w:r>
      <w:hyperlink r:id="rId11">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 xml:space="preserve"> applies. This project type includes removal of existing structures and all new construction, reconstruction and improvement of bridges.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Culvert. </w:t>
      </w:r>
      <w:r>
        <w:rPr>
          <w:rFonts w:ascii="Times New Roman" w:hAnsi="Times New Roman"/>
          <w:b w:val="false"/>
          <w:i w:val="false"/>
          <w:color w:val="000000"/>
          <w:sz w:val="22"/>
        </w:rPr>
        <w:t xml:space="preserve">The definition of “culvert” in Iowa Code section </w:t>
      </w:r>
      <w:hyperlink r:id="rId12">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 xml:space="preserve"> applies. This project type includes new construction or installation of an individual box or pipe culvert with a span or diameter that is greater than four feet but no greater than 20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Roadway construction. </w:t>
      </w:r>
      <w:r>
        <w:rPr>
          <w:rFonts w:ascii="Times New Roman" w:hAnsi="Times New Roman"/>
          <w:b w:val="false"/>
          <w:i w:val="false"/>
          <w:color w:val="000000"/>
          <w:sz w:val="22"/>
        </w:rPr>
        <w:t>This project type includes, but is not limited to, all types of excavation, overhaul, clearing and grubbing, removal of pavement, and culverts included with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Surfaces. </w:t>
      </w:r>
      <w:r>
        <w:rPr>
          <w:rFonts w:ascii="Times New Roman" w:hAnsi="Times New Roman"/>
          <w:b w:val="false"/>
          <w:i w:val="false"/>
          <w:color w:val="000000"/>
          <w:sz w:val="22"/>
        </w:rPr>
        <w:t>This type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mix asphalt and Portland cement concrete pavements and overlays on roads, streets and shoulders.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Stabilized bases and granular surfacing on new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Roadside construction. </w:t>
      </w:r>
      <w:r>
        <w:rPr>
          <w:rFonts w:ascii="Times New Roman" w:hAnsi="Times New Roman"/>
          <w:b w:val="false"/>
          <w:i w:val="false"/>
          <w:color w:val="000000"/>
          <w:sz w:val="22"/>
        </w:rPr>
        <w:t>This project type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Erosion control structures such as check dams and letdown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Landscape treatments such as seedbed preparation, seeding, sodding, mulching, fertilizing, and planting of shrubs and trees on newly graded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of shoulders on paved roads and rebuilding or raising entrances due to shoulder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w:t>
      </w:r>
      <w:r>
        <w:rPr>
          <w:rFonts w:ascii="Times New Roman" w:hAnsi="Times New Roman"/>
          <w:b w:val="false"/>
          <w:i w:val="false"/>
          <w:color w:val="000000"/>
          <w:sz w:val="22"/>
        </w:rPr>
        <w:t>This project type includes, but is not limited to, installation of major signs, traffic signals, railroad crossing signals, guardrail, roadway lighting, construction signing, and pavement markings on newly paved roads and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Miscellaneous. </w:t>
      </w:r>
      <w:r>
        <w:rPr>
          <w:rFonts w:ascii="Times New Roman" w:hAnsi="Times New Roman"/>
          <w:b w:val="false"/>
          <w:i w:val="false"/>
          <w:color w:val="000000"/>
          <w:sz w:val="22"/>
        </w:rPr>
        <w:t>This project type includes, but is not limited to, construction, reconstruction, or installation of storm sewers, subdrains, retaining walls, noise barriers, and sidewalks.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178.5(2)</w:t>
      </w:r>
      <w:r>
        <w:rPr>
          <w:rFonts w:ascii="Times New Roman" w:hAnsi="Times New Roman"/>
          <w:b w:val="false"/>
          <w:i w:val="false"/>
          <w:color w:val="000000"/>
          <w:sz w:val="22"/>
        </w:rPr>
        <w:t> </w:t>
      </w:r>
      <w:r>
        <w:rPr>
          <w:rFonts w:ascii="Times New Roman" w:hAnsi="Times New Roman"/>
          <w:b w:val="false"/>
          <w:i/>
          <w:color w:val="000000"/>
          <w:sz w:val="22"/>
        </w:rPr>
        <w:t xml:space="preserve">Contract work. </w:t>
      </w:r>
      <w:r>
        <w:rPr>
          <w:rFonts w:ascii="Times New Roman" w:hAnsi="Times New Roman"/>
          <w:b w:val="false"/>
          <w:i w:val="false"/>
          <w:color w:val="000000"/>
          <w:sz w:val="22"/>
        </w:rPr>
        <w:t>The cost of contract work on a project is the contract price plus additions and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178.5(3)</w:t>
      </w:r>
      <w:r>
        <w:rPr>
          <w:rFonts w:ascii="Times New Roman" w:hAnsi="Times New Roman"/>
          <w:b w:val="false"/>
          <w:i w:val="false"/>
          <w:color w:val="000000"/>
          <w:sz w:val="22"/>
        </w:rPr>
        <w:t> </w:t>
      </w:r>
      <w:r>
        <w:rPr>
          <w:rFonts w:ascii="Times New Roman" w:hAnsi="Times New Roman"/>
          <w:b w:val="false"/>
          <w:i/>
          <w:color w:val="000000"/>
          <w:sz w:val="22"/>
        </w:rPr>
        <w:t xml:space="preserve">Day labor. </w:t>
      </w:r>
      <w:r>
        <w:rPr>
          <w:rFonts w:ascii="Times New Roman" w:hAnsi="Times New Roman"/>
          <w:b w:val="false"/>
          <w:i w:val="false"/>
          <w:color w:val="000000"/>
          <w:sz w:val="22"/>
        </w:rPr>
        <w:t>The cost of day labor on a project shall include the following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 </w:t>
      </w:r>
      <w:r>
        <w:rPr>
          <w:rFonts w:ascii="Times New Roman" w:hAnsi="Times New Roman"/>
          <w:b w:val="false"/>
          <w:i w:val="false"/>
          <w:color w:val="000000"/>
          <w:sz w:val="22"/>
        </w:rPr>
        <w:t>Labor cost includes the wages of city or county employees for their time devoted to the project, plus corresponding fringe benefits such as, but not limited to, IPERS, FICA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Equipment cost is calculated based on the equipment used on the project and the time the equipment is used. If an item of equipment is rented or leased, its rental or lease rate may be used to calculate cost. If an item of equipment is not leased, its cost shall be calculated using the standard rate established by the department for that type of equipment. The department shall establish equipment rates each year based on the latest “Rental Rate Blue Book for Construction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Materials cost is the cost of materials and supplies consumed or expended on the project. The materials and supplies may be procured directly for the project or charged to the project from stock on hand. The cost of used material is its salvage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Overhead. </w:t>
      </w:r>
      <w:r>
        <w:rPr>
          <w:rFonts w:ascii="Times New Roman" w:hAnsi="Times New Roman"/>
          <w:b w:val="false"/>
          <w:i w:val="false"/>
          <w:color w:val="000000"/>
          <w:sz w:val="22"/>
        </w:rPr>
        <w:t>Overhead cost is the pro-rata share of indirect costs to be allocated to day labor projects. Indirect costs are the city’s or county’s road- or street-related costs that cannot be charged directly to any project. The city or county may use its records to calculate the cost of overhead, or it may use a standard overhead rate of 10 percent of the labor cost excluding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309.22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309.93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312.14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2/15/02, Notice 12/26/01—published 3/20/02, effective 7/1/02]</w:t>
      </w:r>
    </w:p>
    <w:p>
      <w:pPr>
        <w:spacing w:before="0" w:after="0"/>
        <w:ind w:left="120"/>
        <w:jc w:val="center"/>
      </w:pPr>
      <w:r>
        <w:rPr>
          <w:rFonts w:ascii="Times New Roman" w:hAnsi="Times New Roman"/>
          <w:b w:val="false"/>
          <w:i w:val="false"/>
          <w:color w:val="000000"/>
          <w:sz w:val="21"/>
        </w:rPr>
        <w:t>[Filed ARC 2425C</w:t>
      </w:r>
      <w:r>
        <w:rPr>
          <w:rFonts w:ascii="Times New Roman" w:hAnsi="Times New Roman"/>
          <w:b w:val="false"/>
          <w:i w:val="false"/>
          <w:color w:val="000000"/>
          <w:sz w:val="21"/>
        </w:rPr>
        <w:t xml:space="preserve"> (Notice ARC 2319C, IAB 12/23/15)</w:t>
      </w:r>
      <w:r>
        <w:rPr>
          <w:rFonts w:ascii="Times New Roman" w:hAnsi="Times New Roman"/>
          <w:b w:val="false"/>
          <w:i w:val="false"/>
          <w:color w:val="000000"/>
          <w:sz w:val="21"/>
        </w:rPr>
        <w:t>, IAB 3/2/16, effective 4/6/16]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14.1A.pdf" Type="http://schemas.openxmlformats.org/officeDocument/2006/relationships/hyperlink" Id="rId5"/>
    <Relationship TargetMode="External" Target="https://www.legis.iowa.gov/docs/ico/chapter/312.8.pdf" Type="http://schemas.openxmlformats.org/officeDocument/2006/relationships/hyperlink" Id="rId6"/>
    <Relationship TargetMode="External" Target="https://www.legis.iowa.gov/docs/ico/chapter/362.2.pdf" Type="http://schemas.openxmlformats.org/officeDocument/2006/relationships/hyperlink" Id="rId7"/>
    <Relationship TargetMode="External" Target="https://www.legis.iowa.gov/docs/ico/chapter/309.22.pdf" Type="http://schemas.openxmlformats.org/officeDocument/2006/relationships/hyperlink" Id="rId8"/>
    <Relationship TargetMode="External" Target="https://www.legis.iowa.gov/docs/ico/chapter/312.14.pdf" Type="http://schemas.openxmlformats.org/officeDocument/2006/relationships/hyperlink" Id="rId9"/>
    <Relationship TargetMode="External" Target="https://www.legis.iowa.gov/docs/ico/chapter/314.1A.pdf" Type="http://schemas.openxmlformats.org/officeDocument/2006/relationships/hyperlink" Id="rId10"/>
    <Relationship TargetMode="External" Target="https://www.legis.iowa.gov/docs/ico/chapter/309.1.pdf" Type="http://schemas.openxmlformats.org/officeDocument/2006/relationships/hyperlink" Id="rId11"/>
    <Relationship TargetMode="External" Target="https://www.legis.iowa.gov/docs/ico/chapter/309.1.pdf" Type="http://schemas.openxmlformats.org/officeDocument/2006/relationships/hyperlink" Id="rId12"/>
    <Relationship TargetMode="External" Target="https://www.legis.iowa.gov/docs/ico/chapter/309.22.pdf" Type="http://schemas.openxmlformats.org/officeDocument/2006/relationships/hyperlink" Id="rId13"/>
    <Relationship TargetMode="External" Target="https://www.legis.iowa.gov/docs/ico/chapter/309.93.pdf" Type="http://schemas.openxmlformats.org/officeDocument/2006/relationships/hyperlink" Id="rId14"/>
    <Relationship TargetMode="External" Target="https://www.legis.iowa.gov/docs/ico/chapter/312.14.pdf" Type="http://schemas.openxmlformats.org/officeDocument/2006/relationships/hyperlink" Id="rId15"/>
    <Relationship TargetMode="External" Target="https://www.legis.iowa.gov/docs/ico/chapter/314.1.pdf" Type="http://schemas.openxmlformats.org/officeDocument/2006/relationships/hyperlink" Id="rId16"/>
    <Relationship TargetMode="External" Target="https://www.legis.iowa.gov/docs/ico/chapter/314.1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