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165</w:t>
      </w:r>
    </w:p>
    <w:p>
      <w:pPr>
        <w:spacing w:before="0" w:after="0"/>
        <w:ind w:left="120"/>
        <w:jc w:val="center"/>
      </w:pPr>
      <w:r>
        <w:rPr>
          <w:rFonts w:ascii="Times New Roman" w:hAnsi="Times New Roman"/>
          <w:b w:val="false"/>
          <w:i w:val="false"/>
          <w:color w:val="000000"/>
          <w:sz w:val="21"/>
        </w:rPr>
        <w:t>RECREATIONAL TRAILS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761—165.1</w:t>
      </w:r>
      <w:r>
        <w:rPr>
          <w:rFonts w:ascii="Times New Roman" w:hAnsi="Times New Roman"/>
          <w:b/>
          <w:i w:val="false"/>
          <w:color w:val="000000"/>
          <w:sz w:val="22"/>
        </w:rPr>
        <w:t xml:space="preserve">(465B)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a state or local government agency, municipal corporation, county or nonprofit organization having authority and responsibility for a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trail” </w:t>
      </w:r>
      <w:r>
        <w:rPr>
          <w:rFonts w:ascii="Times New Roman" w:hAnsi="Times New Roman"/>
          <w:b w:val="false"/>
          <w:i w:val="false"/>
          <w:color w:val="000000"/>
          <w:sz w:val="22"/>
        </w:rPr>
        <w:t>means a thoroughfare or track across land or snow, used for recreational purposes such as pedestrian activities including wheelchair use; skating or skateboarding; equestrian activities, including carriage driving; nonmotorized snow trail activities, including skiing; bicycling or use of other human-powered vehicles; providing access to aquatic or water activities; and motorized vehicular activities, including all-terrain vehicle riding, motorcycling, snowmobiling, use of off-road light trucks, or use of other off-road motorized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trails funds” </w:t>
      </w:r>
      <w:r>
        <w:rPr>
          <w:rFonts w:ascii="Times New Roman" w:hAnsi="Times New Roman"/>
          <w:b w:val="false"/>
          <w:i w:val="false"/>
          <w:color w:val="000000"/>
          <w:sz w:val="22"/>
        </w:rPr>
        <w:t>means funds appropriated for the acquisition, construction, and improvement of recreational trails.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761—165.2</w:t>
      </w:r>
      <w:r>
        <w:rPr>
          <w:rFonts w:ascii="Times New Roman" w:hAnsi="Times New Roman"/>
          <w:b/>
          <w:i w:val="false"/>
          <w:color w:val="000000"/>
          <w:sz w:val="22"/>
        </w:rPr>
        <w:t xml:space="preserve">(465B)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Office of Systems Planning, Iowa Department of Transportation, 800 Lincoln Way, Ames, Iowa 50010; telephone (515)239-1664; or through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761—165.3</w:t>
      </w:r>
      <w:r>
        <w:rPr>
          <w:rFonts w:ascii="Times New Roman" w:hAnsi="Times New Roman"/>
          <w:b w:val="false"/>
          <w:i w:val="false"/>
          <w:color w:val="000000"/>
          <w:sz w:val="22"/>
        </w:rPr>
        <w:t xml:space="preserve"> and </w:t>
      </w:r>
      <w:r>
        <w:rPr>
          <w:rFonts w:ascii="Times New Roman" w:hAnsi="Times New Roman"/>
          <w:b/>
          <w:i w:val="false"/>
          <w:color w:val="000000"/>
          <w:sz w:val="22"/>
        </w:rPr>
        <w:t>165.4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761—165.5</w:t>
      </w:r>
      <w:r>
        <w:rPr>
          <w:rFonts w:ascii="Times New Roman" w:hAnsi="Times New Roman"/>
          <w:b/>
          <w:i w:val="false"/>
          <w:color w:val="000000"/>
          <w:sz w:val="22"/>
        </w:rPr>
        <w:t xml:space="preserve">(465B)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recreational trails program provides funds to establish recreational trails in Iowa for the use, enjoyment and participation of the public. The department shall administer the recreational trails fund as a statewide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is solely responsible for all funding commitments and shall determine the projects to be funded, subject to the availability of recreational trails funds. The commission may approve, modify, or deny an application. The commission may fund all or part of a project and may make funding conditional upon adherence to a time schedule or to fulfillment of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need not commit all funds available during a programming cycle. The commission may reserve unexpended or repaid funds for the next programming cycle or for anticipated present and future project needs and other contingencies.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costs that exceed the commission’s funding commitment shall not be eligible for reimbursement from the recreational trails fund. Reimbursement for project costs shall be limited to the percentage match approved by the commission and actual eligible project costs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761—165.6</w:t>
      </w:r>
      <w:r>
        <w:rPr>
          <w:rFonts w:ascii="Times New Roman" w:hAnsi="Times New Roman"/>
          <w:b w:val="false"/>
          <w:i w:val="false"/>
          <w:color w:val="000000"/>
          <w:sz w:val="22"/>
        </w:rPr>
        <w:t xml:space="preserve"> to </w:t>
      </w:r>
      <w:r>
        <w:rPr>
          <w:rFonts w:ascii="Times New Roman" w:hAnsi="Times New Roman"/>
          <w:b/>
          <w:i w:val="false"/>
          <w:color w:val="000000"/>
          <w:sz w:val="22"/>
        </w:rPr>
        <w:t>165.8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761—165.9</w:t>
      </w:r>
      <w:r>
        <w:rPr>
          <w:rFonts w:ascii="Times New Roman" w:hAnsi="Times New Roman"/>
          <w:b/>
          <w:i w:val="false"/>
          <w:color w:val="000000"/>
          <w:sz w:val="22"/>
        </w:rPr>
        <w:t xml:space="preserve">(465B) </w:t>
      </w:r>
      <w:r>
        <w:rPr>
          <w:rFonts w:ascii="Times New Roman" w:hAnsi="Times New Roman"/>
          <w:b/>
          <w:i w:val="false"/>
          <w:color w:val="000000"/>
          <w:sz w:val="22"/>
        </w:rPr>
        <w:t xml:space="preserve">Applicant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165.9(1)</w:t>
      </w:r>
      <w:r>
        <w:rPr>
          <w:rFonts w:ascii="Times New Roman" w:hAnsi="Times New Roman"/>
          <w:b w:val="false"/>
          <w:i w:val="false"/>
          <w:color w:val="000000"/>
          <w:sz w:val="22"/>
        </w:rPr>
        <w:t> </w:t>
      </w:r>
      <w:r>
        <w:rPr>
          <w:rFonts w:ascii="Times New Roman" w:hAnsi="Times New Roman"/>
          <w:b w:val="false"/>
          <w:i w:val="false"/>
          <w:color w:val="000000"/>
          <w:sz w:val="22"/>
        </w:rPr>
        <w:t>A state or local government agency, a municipal corporation, a county or a nonprofit organization is eligible to apply for and receive funds from the recreational trails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165.9(2)</w:t>
      </w:r>
      <w:r>
        <w:rPr>
          <w:rFonts w:ascii="Times New Roman" w:hAnsi="Times New Roman"/>
          <w:b w:val="false"/>
          <w:i w:val="false"/>
          <w:color w:val="000000"/>
          <w:sz w:val="22"/>
        </w:rPr>
        <w:t> </w:t>
      </w:r>
      <w:r>
        <w:rPr>
          <w:rFonts w:ascii="Times New Roman" w:hAnsi="Times New Roman"/>
          <w:b w:val="false"/>
          <w:i w:val="false"/>
          <w:color w:val="000000"/>
          <w:sz w:val="22"/>
        </w:rPr>
        <w:t>A private business or developer is not eligible to apply directly for funds from the recreational trails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761—165.10</w:t>
      </w:r>
      <w:r>
        <w:rPr>
          <w:rFonts w:ascii="Times New Roman" w:hAnsi="Times New Roman"/>
          <w:b w:val="false"/>
          <w:i w:val="false"/>
          <w:color w:val="000000"/>
          <w:sz w:val="22"/>
        </w:rPr>
        <w:t xml:space="preserve"> and </w:t>
      </w:r>
      <w:r>
        <w:rPr>
          <w:rFonts w:ascii="Times New Roman" w:hAnsi="Times New Roman"/>
          <w:b/>
          <w:i w:val="false"/>
          <w:color w:val="000000"/>
          <w:sz w:val="22"/>
        </w:rPr>
        <w:t>165.11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761—165.12</w:t>
      </w:r>
      <w:r>
        <w:rPr>
          <w:rFonts w:ascii="Times New Roman" w:hAnsi="Times New Roman"/>
          <w:b/>
          <w:i w:val="false"/>
          <w:color w:val="000000"/>
          <w:sz w:val="22"/>
        </w:rPr>
        <w:t xml:space="preserve">(465B)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165.12(1)</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The recreational trails program is restricted to the acquisition, construction or improvement of recreational trails open for public use or trails which will be dedicated to public use upon completion. A private trail project or a project for a private purpose is not eligible for funding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165.12(2)</w:t>
      </w:r>
      <w:r>
        <w:rPr>
          <w:rFonts w:ascii="Times New Roman" w:hAnsi="Times New Roman"/>
          <w:b w:val="false"/>
          <w:i w:val="false"/>
          <w:color w:val="000000"/>
          <w:sz w:val="22"/>
        </w:rPr>
        <w:t> </w:t>
      </w:r>
      <w:r>
        <w:rPr>
          <w:rFonts w:ascii="Times New Roman" w:hAnsi="Times New Roman"/>
          <w:b w:val="false"/>
          <w:i/>
          <w:color w:val="000000"/>
          <w:sz w:val="22"/>
        </w:rPr>
        <w:t xml:space="preserve"> Criteria. </w:t>
      </w:r>
      <w:r>
        <w:rPr>
          <w:rFonts w:ascii="Times New Roman" w:hAnsi="Times New Roman"/>
          <w:b w:val="false"/>
          <w:i w:val="false"/>
          <w:color w:val="000000"/>
          <w:sz w:val="22"/>
        </w:rPr>
        <w:t>A proposed recreational trails project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must be part of a local, areawide, regional or statewide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trail route shall be designed to allow enjoyment of scenic views or points of historical interest and to maximize safety. The route may use existing roads, streets or parkways, if the normal flow of motor vehicle traffic will not be hindered, abandoned railroad corridors, utility corridors, or new right-of-way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include a contribution of at least 25 percent matching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Matching funds may include grants from other state agencies or programs if their laws and rules allow and the donation of in-kind labor, materials, equipment, and services from a third party. The department has the sole authority to determine the value of noncash contributions. The value of donated land may be an eligible matching contribution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 is donated after the commission’s funding commitment,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is based on a real estate appraisal acceptable to the department. The appraisal is subject to review and approval by the department after a funding commitment has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761—165.13</w:t>
      </w:r>
      <w:r>
        <w:rPr>
          <w:rFonts w:ascii="Times New Roman" w:hAnsi="Times New Roman"/>
          <w:b w:val="false"/>
          <w:i w:val="false"/>
          <w:color w:val="000000"/>
          <w:sz w:val="22"/>
        </w:rPr>
        <w:t xml:space="preserve"> and </w:t>
      </w:r>
      <w:r>
        <w:rPr>
          <w:rFonts w:ascii="Times New Roman" w:hAnsi="Times New Roman"/>
          <w:b/>
          <w:i w:val="false"/>
          <w:color w:val="000000"/>
          <w:sz w:val="22"/>
        </w:rPr>
        <w:t>165.14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761—165.15</w:t>
      </w:r>
      <w:r>
        <w:rPr>
          <w:rFonts w:ascii="Times New Roman" w:hAnsi="Times New Roman"/>
          <w:b/>
          <w:i w:val="false"/>
          <w:color w:val="000000"/>
          <w:sz w:val="22"/>
        </w:rPr>
        <w:t xml:space="preserve">(465B) </w:t>
      </w:r>
      <w:r>
        <w:rPr>
          <w:rFonts w:ascii="Times New Roman" w:hAnsi="Times New Roman"/>
          <w:b/>
          <w:i w:val="false"/>
          <w:color w:val="000000"/>
          <w:sz w:val="22"/>
        </w:rPr>
        <w:t xml:space="preserve">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165.15(1)</w:t>
      </w:r>
      <w:r>
        <w:rPr>
          <w:rFonts w:ascii="Times New Roman" w:hAnsi="Times New Roman"/>
          <w:b w:val="false"/>
          <w:i w:val="false"/>
          <w:color w:val="000000"/>
          <w:sz w:val="22"/>
        </w:rPr>
        <w:t> </w:t>
      </w:r>
      <w:r>
        <w:rPr>
          <w:rFonts w:ascii="Times New Roman" w:hAnsi="Times New Roman"/>
          <w:b w:val="false"/>
          <w:i/>
          <w:color w:val="000000"/>
          <w:sz w:val="22"/>
        </w:rPr>
        <w:t xml:space="preserve">Land. </w:t>
      </w:r>
      <w:r>
        <w:rPr>
          <w:rFonts w:ascii="Times New Roman" w:hAnsi="Times New Roman"/>
          <w:b w:val="false"/>
          <w:i w:val="false"/>
          <w:color w:val="000000"/>
          <w:sz w:val="22"/>
        </w:rPr>
        <w:t xml:space="preserve">Land acquisition costs including, but not limited to, appraisals, negotiation, compensation and cultural resources surveys necessary to comply with applicable local, state and federal laws, rules and regulations are eligible project costs. Land may be acquired by lease, easement or fee simple and as allowed by Iowa Code section </w:t>
      </w:r>
      <w:hyperlink r:id="rId6">
        <w:r>
          <w:rPr>
            <w:rStyle w:val="Hyperlink"/>
            <w:rFonts w:ascii="Times New Roman" w:hAnsi="Times New Roman"/>
            <w:b w:val="false"/>
            <w:i w:val="false"/>
            <w:color w:val="000000"/>
            <w:sz w:val="22"/>
          </w:rPr>
          <w:t>6A.21</w:t>
        </w:r>
      </w:hyperlink>
      <w:r>
        <w:rPr>
          <w:rFonts w:ascii="Times New Roman" w:hAnsi="Times New Roman"/>
          <w:b w:val="false"/>
          <w:i w:val="false"/>
          <w:color w:val="000000"/>
          <w:sz w:val="22"/>
        </w:rPr>
        <w:t>. The performance of land negotiation and acquisition activities shall not be the responsibility of the department although the department may provide advisory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165.15(2)</w:t>
      </w:r>
      <w:r>
        <w:rPr>
          <w:rFonts w:ascii="Times New Roman" w:hAnsi="Times New Roman"/>
          <w:b w:val="false"/>
          <w:i w:val="false"/>
          <w:color w:val="000000"/>
          <w:sz w:val="22"/>
        </w:rPr>
        <w:t> </w:t>
      </w:r>
      <w:r>
        <w:rPr>
          <w:rFonts w:ascii="Times New Roman" w:hAnsi="Times New Roman"/>
          <w:b w:val="false"/>
          <w:i/>
          <w:color w:val="000000"/>
          <w:sz w:val="22"/>
        </w:rPr>
        <w:t xml:space="preserve">Other eligible costs. </w:t>
      </w:r>
      <w:r>
        <w:rPr>
          <w:rFonts w:ascii="Times New Roman" w:hAnsi="Times New Roman"/>
          <w:b w:val="false"/>
          <w:i w:val="false"/>
          <w:color w:val="000000"/>
          <w:sz w:val="22"/>
        </w:rPr>
        <w:t>Other project costs that are eligible for funding are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 surfacing, resurfacing, rehabilitation, modernization, upgrading and reconstruction, including pavement repairs and overlays and shoulder widening and stabilization; or initial trail construction including grading, drainage, paving and erosion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Bridge and culvert repair, modernization, replacement or initial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Roadway intersection and interchange improvements, including warranted traffic signalization that is an integral part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Construction or improvement of rest areas, information centers, waysides, permanent interpretive displays, lighting and rest rooms, including the costs of utility connections that are an integral part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 engineering costs leading to construction plan development and construction inspection costs directly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Storm drainage and storm sewer costs to the extent needed for draining the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Reconstruction or adjustment of utilities including but not limited to water, sanitary sewer, electric, telephone, and natural gas when utilities are located on private property and require replacement or relocation due to project construction; or said utilities are located in the public right-of-way and the utility is not required to relocate at its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Trail signs, fencing, landscaping, parking areas, and walkways.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761—165.17</w:t>
      </w:r>
      <w:r>
        <w:rPr>
          <w:rFonts w:ascii="Times New Roman" w:hAnsi="Times New Roman"/>
          <w:b/>
          <w:i w:val="false"/>
          <w:color w:val="000000"/>
          <w:sz w:val="22"/>
        </w:rPr>
        <w:t xml:space="preserve">(465B) </w:t>
      </w:r>
      <w:r>
        <w:rPr>
          <w:rFonts w:ascii="Times New Roman" w:hAnsi="Times New Roman"/>
          <w:b/>
          <w:i w:val="false"/>
          <w:color w:val="000000"/>
          <w:sz w:val="22"/>
        </w:rPr>
        <w:t xml:space="preserve">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165.17(1)</w:t>
      </w:r>
      <w:r>
        <w:rPr>
          <w:rFonts w:ascii="Times New Roman" w:hAnsi="Times New Roman"/>
          <w:b w:val="false"/>
          <w:i w:val="false"/>
          <w:color w:val="000000"/>
          <w:sz w:val="22"/>
        </w:rPr>
        <w:t> </w:t>
      </w:r>
      <w:r>
        <w:rPr>
          <w:rFonts w:ascii="Times New Roman" w:hAnsi="Times New Roman"/>
          <w:b w:val="false"/>
          <w:i/>
          <w:color w:val="000000"/>
          <w:sz w:val="22"/>
        </w:rPr>
        <w:t xml:space="preserve">Before commission approval. </w:t>
      </w:r>
      <w:r>
        <w:rPr>
          <w:rFonts w:ascii="Times New Roman" w:hAnsi="Times New Roman"/>
          <w:b w:val="false"/>
          <w:i w:val="false"/>
          <w:color w:val="000000"/>
          <w:sz w:val="22"/>
        </w:rPr>
        <w:t xml:space="preserve">Any and all costs incurred prior to a funding commitment by the commission are ineligible for funding notwithstanding rule </w:t>
      </w:r>
      <w:hyperlink r:id="rId7">
        <w:r>
          <w:rPr>
            <w:rStyle w:val="Hyperlink"/>
            <w:rFonts w:ascii="Times New Roman" w:hAnsi="Times New Roman"/>
            <w:b w:val="false"/>
            <w:i w:val="false"/>
            <w:color w:val="000000"/>
            <w:sz w:val="22"/>
          </w:rPr>
          <w:t>761—165.19</w:t>
        </w:r>
      </w:hyperlink>
      <w:r>
        <w:rPr>
          <w:rFonts w:ascii="Times New Roman" w:hAnsi="Times New Roman"/>
          <w:b w:val="false"/>
          <w:i w:val="false"/>
          <w:color w:val="000000"/>
          <w:sz w:val="22"/>
        </w:rPr>
        <w:t>(465B).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165.17(2)</w:t>
      </w:r>
      <w:r>
        <w:rPr>
          <w:rFonts w:ascii="Times New Roman" w:hAnsi="Times New Roman"/>
          <w:b w:val="false"/>
          <w:i w:val="false"/>
          <w:color w:val="000000"/>
          <w:sz w:val="22"/>
        </w:rPr>
        <w:t> </w:t>
      </w:r>
      <w:r>
        <w:rPr>
          <w:rFonts w:ascii="Times New Roman" w:hAnsi="Times New Roman"/>
          <w:b w:val="false"/>
          <w:i/>
          <w:color w:val="000000"/>
          <w:sz w:val="22"/>
        </w:rPr>
        <w:t xml:space="preserve">Other ineligible costs. </w:t>
      </w:r>
      <w:r>
        <w:rPr>
          <w:rFonts w:ascii="Times New Roman" w:hAnsi="Times New Roman"/>
          <w:b w:val="false"/>
          <w:i w:val="false"/>
          <w:color w:val="000000"/>
          <w:sz w:val="22"/>
        </w:rPr>
        <w:t>Other project costs that are ineligible for funding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maintenance of a trail, bridge, culvert, fence or sign; winter maintenance of a trail or bridge, including but not limited to snow plowing, sanding, and salting.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Overhead and operating costs associated with a project, such as auditing, legal and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associated with the preparation and submission of a project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Predesign engineering, feasibility, or alignment studies and other planning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construction, reconstruction or adjustment except for those activities or costs described in </w:t>
      </w:r>
      <w:hyperlink r:id="rId8">
        <w:r>
          <w:rPr>
            <w:rStyle w:val="Hyperlink"/>
            <w:rFonts w:ascii="Times New Roman" w:hAnsi="Times New Roman"/>
            <w:b w:val="false"/>
            <w:i w:val="false"/>
            <w:color w:val="000000"/>
            <w:sz w:val="22"/>
          </w:rPr>
          <w:t>subrule 165.15(2)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Pavement markings, traffic signs, safety appurtenances or lighting except as an integral part of a trail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Purchases of office furnishings or equipment, construction or maintenance equipment,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government expenses and expenses associated with the provision of any public service that are not otherwise eligible for project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761—165.19</w:t>
      </w:r>
      <w:r>
        <w:rPr>
          <w:rFonts w:ascii="Times New Roman" w:hAnsi="Times New Roman"/>
          <w:b/>
          <w:i w:val="false"/>
          <w:color w:val="000000"/>
          <w:sz w:val="22"/>
        </w:rPr>
        <w:t xml:space="preserve">(465B) </w:t>
      </w:r>
      <w:r>
        <w:rPr>
          <w:rFonts w:ascii="Times New Roman" w:hAnsi="Times New Roman"/>
          <w:b/>
          <w:i w:val="false"/>
          <w:color w:val="000000"/>
          <w:sz w:val="22"/>
        </w:rPr>
        <w:t xml:space="preserve">Advance eligibility of land acquisition and preliminary design costs incurred prior to funding commitment by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165.19(1)</w:t>
      </w:r>
      <w:r>
        <w:rPr>
          <w:rFonts w:ascii="Times New Roman" w:hAnsi="Times New Roman"/>
          <w:b w:val="false"/>
          <w:i w:val="false"/>
          <w:color w:val="000000"/>
          <w:sz w:val="22"/>
        </w:rPr>
        <w:t> </w:t>
      </w:r>
      <w:r>
        <w:rPr>
          <w:rFonts w:ascii="Times New Roman" w:hAnsi="Times New Roman"/>
          <w:b w:val="false"/>
          <w:i/>
          <w:color w:val="000000"/>
          <w:sz w:val="22"/>
        </w:rPr>
        <w:t xml:space="preserve">Need for advance eligibility. </w:t>
      </w:r>
      <w:r>
        <w:rPr>
          <w:rFonts w:ascii="Times New Roman" w:hAnsi="Times New Roman"/>
          <w:b w:val="false"/>
          <w:i w:val="false"/>
          <w:color w:val="000000"/>
          <w:sz w:val="22"/>
        </w:rPr>
        <w:t>If there is extreme urgency involving land acquisition or preliminary design and a necessity to protect or preserve a project corridor or to proceed with the preparation of project construction plans prior to a recreational trails program funding commitment, a potential applicant may submit a written request to the department for a determination of advance eligibility to incur costs for land acquisition or preliminary design immediately. A determination of advance eligibility by the department will allow specified costs incurred prior to a funding commitment by the commission to be eligible for reimbursement with recreational trails program funding without jeopardizing the project’s eligibility for funding approval, but does not imply or guarantee that the commission will commit recreational trails program funding to a subsequent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165.19(2)</w:t>
      </w:r>
      <w:r>
        <w:rPr>
          <w:rFonts w:ascii="Times New Roman" w:hAnsi="Times New Roman"/>
          <w:b w:val="false"/>
          <w:i w:val="false"/>
          <w:color w:val="000000"/>
          <w:sz w:val="22"/>
        </w:rPr>
        <w:t> </w:t>
      </w:r>
      <w:r>
        <w:rPr>
          <w:rFonts w:ascii="Times New Roman" w:hAnsi="Times New Roman"/>
          <w:b w:val="false"/>
          <w:i/>
          <w:color w:val="000000"/>
          <w:sz w:val="22"/>
        </w:rPr>
        <w:t xml:space="preserve">Request, justification and review. </w:t>
      </w:r>
      <w:r>
        <w:rPr>
          <w:rFonts w:ascii="Times New Roman" w:hAnsi="Times New Roman"/>
          <w:b w:val="false"/>
          <w:i w:val="false"/>
          <w:color w:val="000000"/>
          <w:sz w:val="22"/>
        </w:rPr>
        <w:t xml:space="preserve">The request must be received by the department prior to the expenditure and must include justification regarding the extreme urgency and necessity to incur costs prior to a recreational trails program funding commitment. A request for land acquisition must also include a description of the land to be acquired, a summary of the estimated costs, and a map showing the parcels to be acquired. Preliminary design requests must include a description of the project scope, location map, and proposed cross section. If the request will include consultant design costs, a draft agreement between the jurisdiction and the consultant must be submitted which includes the scope of services to be rendered. Costs for recreational trails program application preparation and submission or project feasibility, route alignment studies or other planning expenses as cited in paragraphs </w:t>
      </w:r>
      <w:hyperlink r:id="rId9">
        <w:r>
          <w:rPr>
            <w:rStyle w:val="Hyperlink"/>
            <w:rFonts w:ascii="Times New Roman" w:hAnsi="Times New Roman"/>
            <w:b w:val="false"/>
            <w:i w:val="false"/>
            <w:color w:val="000000"/>
            <w:sz w:val="22"/>
          </w:rPr>
          <w:t>165.17(2)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remain ineligible for recreational trails program funding and shall not be included in a request for determination of advance eligibility. The department will review the submittal. If the requirements of this rule are met, the department will provide written confirmation of the determination of advance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165.19(3)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Any cost incurred before the request is received by the department will be ineligible for reimbursement. Costs receiving a determination of advance eligibility must be noted in the subsequent recreational trails program funding application submitted to the department. Land acquired or design work completed following a determination of advance eligibility will not be eligible for reimbursement with recreational trails program funds if the property acquired or design work completed is not necessary to construct the proposed recreational trails program project included in the subsequent application. Design costs receiving a determination of advance eligibility may not exceed 10 percent of the total construction costs for the project. An application for funding which includes the expenditure must be received by the department within two years following the determination of advance eligibility, or the costs may become ineligible for recreational trails program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761—165.20</w:t>
      </w:r>
      <w:r>
        <w:rPr>
          <w:rFonts w:ascii="Times New Roman" w:hAnsi="Times New Roman"/>
          <w:b w:val="false"/>
          <w:i w:val="false"/>
          <w:color w:val="000000"/>
          <w:sz w:val="22"/>
        </w:rPr>
        <w:t xml:space="preserve"> and </w:t>
      </w:r>
      <w:r>
        <w:rPr>
          <w:rFonts w:ascii="Times New Roman" w:hAnsi="Times New Roman"/>
          <w:b/>
          <w:i w:val="false"/>
          <w:color w:val="000000"/>
          <w:sz w:val="22"/>
        </w:rPr>
        <w:t>165.21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761—165.22</w:t>
      </w:r>
      <w:r>
        <w:rPr>
          <w:rFonts w:ascii="Times New Roman" w:hAnsi="Times New Roman"/>
          <w:b/>
          <w:i w:val="false"/>
          <w:color w:val="000000"/>
          <w:sz w:val="22"/>
        </w:rPr>
        <w:t xml:space="preserve">(465B)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165.22(1)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An eligible applicant shall complete and submit an application on a form and in the quantity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submit more than one application in a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or more eligible applicants may submit a joint application and are encouraged to do so when a project requires mutual action. A joint application shall designate a lead applicant to serve as the principal contact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deadline shall be on the first day of the fiscal year for which funding has been provided to the program and any additional stated deadline as deemed necessary by the department to fully award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the department or postmarked by the stated application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165.22(2)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Each application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and telephone number, and the contact person who will serve as liaison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concept statement including a location map, a cross section and a sketch of the project intended to be constructed with program funds. The proposed project need not be designed before applying, but the concept must be reasonable from a transportation engineering standpoint and detailed enough to generate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itemized cost estimate for the total project to be constructed showing for each item the cost and funding source. When a project is part of a larger multiphase project, the application shall differentiate the costs and scope of the proposed construction project from the costs and scope of the overall multiphase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time schedule for project completion. A time schedule adjustment may be approved by the department if the project involves unusually complex studies, extensive real estate negotiations, extensive analyses for environmental clearances, complex planning for associated developments, or another compelling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justification for the recreational trails project based on the project eligibility criteria in subrule </w:t>
      </w:r>
      <w:hyperlink r:id="rId10">
        <w:r>
          <w:rPr>
            <w:rStyle w:val="Hyperlink"/>
            <w:rFonts w:ascii="Times New Roman" w:hAnsi="Times New Roman"/>
            <w:b w:val="false"/>
            <w:i w:val="false"/>
            <w:color w:val="000000"/>
            <w:sz w:val="22"/>
          </w:rPr>
          <w:t>165.12(2)</w:t>
        </w:r>
      </w:hyperlink>
      <w:r>
        <w:rPr>
          <w:rFonts w:ascii="Times New Roman" w:hAnsi="Times New Roman"/>
          <w:b w:val="false"/>
          <w:i w:val="false"/>
          <w:color w:val="000000"/>
          <w:sz w:val="22"/>
        </w:rPr>
        <w:t xml:space="preserve"> and the evaluation criteria in subrule </w:t>
      </w:r>
      <w:hyperlink r:id="rId11">
        <w:r>
          <w:rPr>
            <w:rStyle w:val="Hyperlink"/>
            <w:rFonts w:ascii="Times New Roman" w:hAnsi="Times New Roman"/>
            <w:b w:val="false"/>
            <w:i w:val="false"/>
            <w:color w:val="000000"/>
            <w:sz w:val="22"/>
          </w:rPr>
          <w:t>165.26(2)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formal resolution passed by the governing body of the responsible authority endorsing the application and the timeline for project completion provided therein. The resolution shall also state that the proposed trail project will be adequately maintained and made available for the intended public use for a minimum of 20 years after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165.22(3)</w:t>
      </w:r>
      <w:r>
        <w:rPr>
          <w:rFonts w:ascii="Times New Roman" w:hAnsi="Times New Roman"/>
          <w:b w:val="false"/>
          <w:i w:val="false"/>
          <w:color w:val="000000"/>
          <w:sz w:val="22"/>
        </w:rPr>
        <w:t> </w:t>
      </w:r>
      <w:r>
        <w:rPr>
          <w:rFonts w:ascii="Times New Roman" w:hAnsi="Times New Roman"/>
          <w:b w:val="false"/>
          <w:i/>
          <w:color w:val="000000"/>
          <w:sz w:val="22"/>
        </w:rPr>
        <w:t xml:space="preserve">Funding requests. </w:t>
      </w:r>
      <w:r>
        <w:rPr>
          <w:rFonts w:ascii="Times New Roman" w:hAnsi="Times New Roman"/>
          <w:b w:val="false"/>
          <w:i w:val="false"/>
          <w:color w:val="000000"/>
          <w:sz w:val="22"/>
        </w:rPr>
        <w:t>An applicant shall specify in the application the amount of grant funding requested from the recreational trails program and may offer a matching fund contribution larger than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761—165.23</w:t>
      </w:r>
      <w:r>
        <w:rPr>
          <w:rFonts w:ascii="Times New Roman" w:hAnsi="Times New Roman"/>
          <w:b/>
          <w:i w:val="false"/>
          <w:color w:val="000000"/>
          <w:sz w:val="22"/>
        </w:rPr>
        <w:t xml:space="preserve">(465B)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165.23(1)</w:t>
      </w:r>
      <w:r>
        <w:rPr>
          <w:rFonts w:ascii="Times New Roman" w:hAnsi="Times New Roman"/>
          <w:b w:val="false"/>
          <w:i w:val="false"/>
          <w:color w:val="000000"/>
          <w:sz w:val="22"/>
        </w:rPr>
        <w:t> </w:t>
      </w:r>
      <w:r>
        <w:rPr>
          <w:rFonts w:ascii="Times New Roman" w:hAnsi="Times New Roman"/>
          <w:b w:val="false"/>
          <w:i w:val="false"/>
          <w:color w:val="000000"/>
          <w:sz w:val="22"/>
        </w:rPr>
        <w:t>All applications for funding shall be complete. The department reserves the right to return an incomplete application to the applicant without further consideration for funding. An applicant may then submit a completed application for the next available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165.23(2)</w:t>
      </w:r>
      <w:r>
        <w:rPr>
          <w:rFonts w:ascii="Times New Roman" w:hAnsi="Times New Roman"/>
          <w:b w:val="false"/>
          <w:i w:val="false"/>
          <w:color w:val="000000"/>
          <w:sz w:val="22"/>
        </w:rPr>
        <w:t> </w:t>
      </w:r>
      <w:r>
        <w:rPr>
          <w:rFonts w:ascii="Times New Roman" w:hAnsi="Times New Roman"/>
          <w:b w:val="false"/>
          <w:i w:val="false"/>
          <w:color w:val="000000"/>
          <w:sz w:val="22"/>
        </w:rPr>
        <w:t>An application that is considered but not funded in one funding cycle may be resubmitted by the applicant for consideration in the next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165.23(3)</w:t>
      </w:r>
      <w:r>
        <w:rPr>
          <w:rFonts w:ascii="Times New Roman" w:hAnsi="Times New Roman"/>
          <w:b w:val="false"/>
          <w:i w:val="false"/>
          <w:color w:val="000000"/>
          <w:sz w:val="22"/>
        </w:rPr>
        <w:t> </w:t>
      </w:r>
      <w:r>
        <w:rPr>
          <w:rFonts w:ascii="Times New Roman" w:hAnsi="Times New Roman"/>
          <w:b w:val="false"/>
          <w:i w:val="false"/>
          <w:color w:val="000000"/>
          <w:sz w:val="22"/>
        </w:rPr>
        <w:t>An applicant may withdraw an application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761—165.24</w:t>
      </w:r>
      <w:r>
        <w:rPr>
          <w:rFonts w:ascii="Times New Roman" w:hAnsi="Times New Roman"/>
          <w:b w:val="false"/>
          <w:i w:val="false"/>
          <w:color w:val="000000"/>
          <w:sz w:val="22"/>
        </w:rPr>
        <w:t xml:space="preserve"> and </w:t>
      </w:r>
      <w:r>
        <w:rPr>
          <w:rFonts w:ascii="Times New Roman" w:hAnsi="Times New Roman"/>
          <w:b/>
          <w:i w:val="false"/>
          <w:color w:val="000000"/>
          <w:sz w:val="22"/>
        </w:rPr>
        <w:t>165.25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761—165.26</w:t>
      </w:r>
      <w:r>
        <w:rPr>
          <w:rFonts w:ascii="Times New Roman" w:hAnsi="Times New Roman"/>
          <w:b/>
          <w:i w:val="false"/>
          <w:color w:val="000000"/>
          <w:sz w:val="22"/>
        </w:rPr>
        <w:t xml:space="preserve">(465B) </w:t>
      </w:r>
      <w:r>
        <w:rPr>
          <w:rFonts w:ascii="Times New Roman" w:hAnsi="Times New Roman"/>
          <w:b/>
          <w:i w:val="false"/>
          <w:color w:val="000000"/>
          <w:sz w:val="22"/>
        </w:rPr>
        <w:t xml:space="preserve">Evaluation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165.26(1)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each application, may verify the contents and may visit the trail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each complete application primarily on the basis of whether the predicted use of the trail justifies the construction and maintenance costs including, but not limited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Need, in terms of the population to be served and existing trails in the area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with local, areawide, regional or statewide plans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Benefits of multiple uses and recreational opportunities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of the site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Economic benefits to the local area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facilities for persons with disabilities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Project is shovel-ready and planned to be completed within three years of award of funding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Projects with cash match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165.26(3)</w:t>
      </w:r>
      <w:r>
        <w:rPr>
          <w:rFonts w:ascii="Times New Roman" w:hAnsi="Times New Roman"/>
          <w:b w:val="false"/>
          <w:i w:val="false"/>
          <w:color w:val="000000"/>
          <w:sz w:val="22"/>
        </w:rPr>
        <w:t> </w:t>
      </w:r>
      <w:r>
        <w:rPr>
          <w:rFonts w:ascii="Times New Roman" w:hAnsi="Times New Roman"/>
          <w:b w:val="false"/>
          <w:i w:val="false"/>
          <w:color w:val="000000"/>
          <w:sz w:val="22"/>
        </w:rPr>
        <w:t>Completed applications shall be reviewed by a committee composed of one representative from state agencies with jurisdiction over transportation, tourism, cultural resources and natural resources. The committee shall recommend applications to the department by ranking them in order of funding priority.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165.26(4)</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prepare a list of applications and funding recommendations and present it to the commission for final approval and award of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761—165.27</w:t>
      </w:r>
      <w:r>
        <w:rPr>
          <w:rFonts w:ascii="Times New Roman" w:hAnsi="Times New Roman"/>
          <w:b w:val="false"/>
          <w:i w:val="false"/>
          <w:color w:val="000000"/>
          <w:sz w:val="22"/>
        </w:rPr>
        <w:t xml:space="preserve"> to </w:t>
      </w:r>
      <w:r>
        <w:rPr>
          <w:rFonts w:ascii="Times New Roman" w:hAnsi="Times New Roman"/>
          <w:b/>
          <w:i w:val="false"/>
          <w:color w:val="000000"/>
          <w:sz w:val="22"/>
        </w:rPr>
        <w:t>165.29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761—165.30</w:t>
      </w:r>
      <w:r>
        <w:rPr>
          <w:rFonts w:ascii="Times New Roman" w:hAnsi="Times New Roman"/>
          <w:b/>
          <w:i w:val="false"/>
          <w:color w:val="000000"/>
          <w:sz w:val="22"/>
        </w:rPr>
        <w:t xml:space="preserve">(465B) </w:t>
      </w:r>
      <w:r>
        <w:rPr>
          <w:rFonts w:ascii="Times New Roman" w:hAnsi="Times New Roman"/>
          <w:b/>
          <w:i w:val="false"/>
          <w:color w:val="000000"/>
          <w:sz w:val="22"/>
        </w:rPr>
        <w:t xml:space="preserve">Project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165.30(1)</w:t>
      </w:r>
      <w:r>
        <w:rPr>
          <w:rFonts w:ascii="Times New Roman" w:hAnsi="Times New Roman"/>
          <w:b w:val="false"/>
          <w:i w:val="false"/>
          <w:color w:val="000000"/>
          <w:sz w:val="22"/>
        </w:rPr>
        <w:t> </w:t>
      </w:r>
      <w:r>
        <w:rPr>
          <w:rFonts w:ascii="Times New Roman" w:hAnsi="Times New Roman"/>
          <w:b w:val="false"/>
          <w:i w:val="false"/>
          <w:color w:val="000000"/>
          <w:sz w:val="22"/>
        </w:rPr>
        <w:t>After the commission has approved funding for a recreational trails project, the department and the applicant shall execute a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shall specify the responsibilities for project planning, design, land acquisition, contracting, construction and materials inspection, and documentation and the criteria for each. The agreement shall also specify the overall funding level approved and contain an estimated budget for eligible work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agreement shall require the applicant to comply with all local, state and federal laws, rules and regulations that may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165.30(2)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reimburse the authority for actual eligible project costs incurred as specified in the agreement, not to exceed the amounts authorized by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165.30(3)</w:t>
      </w:r>
      <w:r>
        <w:rPr>
          <w:rFonts w:ascii="Times New Roman" w:hAnsi="Times New Roman"/>
          <w:b w:val="false"/>
          <w:i w:val="false"/>
          <w:color w:val="000000"/>
          <w:sz w:val="22"/>
        </w:rPr>
        <w:t> </w:t>
      </w:r>
      <w:r>
        <w:rPr>
          <w:rFonts w:ascii="Times New Roman" w:hAnsi="Times New Roman"/>
          <w:b w:val="false"/>
          <w:i w:val="false"/>
          <w:color w:val="000000"/>
          <w:sz w:val="22"/>
        </w:rPr>
        <w:t>Project expenditures incurred after the commission has made a funding commitment, but before execution of the agreement, are eligible for reimbursement if a project agreement is subsequently executed. However, under no circumstances shall any reimbursement be paid until the project agreement has been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165.30(4)</w:t>
      </w:r>
      <w:r>
        <w:rPr>
          <w:rFonts w:ascii="Times New Roman" w:hAnsi="Times New Roman"/>
          <w:b w:val="false"/>
          <w:i w:val="false"/>
          <w:color w:val="000000"/>
          <w:sz w:val="22"/>
        </w:rPr>
        <w:t> </w:t>
      </w:r>
      <w:r>
        <w:rPr>
          <w:rFonts w:ascii="Times New Roman" w:hAnsi="Times New Roman"/>
          <w:b w:val="false"/>
          <w:i w:val="false"/>
          <w:color w:val="000000"/>
          <w:sz w:val="22"/>
        </w:rPr>
        <w:t>The department may audit all project costs incurred for compliance with the agreement, including costs that are part of the matching contribution. All force account work performed by a county or city on the project shall be audited.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761—165.31</w:t>
      </w:r>
      <w:r>
        <w:rPr>
          <w:rFonts w:ascii="Times New Roman" w:hAnsi="Times New Roman"/>
          <w:b w:val="false"/>
          <w:i w:val="false"/>
          <w:color w:val="000000"/>
          <w:sz w:val="22"/>
        </w:rPr>
        <w:t xml:space="preserve"> and </w:t>
      </w:r>
      <w:r>
        <w:rPr>
          <w:rFonts w:ascii="Times New Roman" w:hAnsi="Times New Roman"/>
          <w:b/>
          <w:i w:val="false"/>
          <w:color w:val="000000"/>
          <w:sz w:val="22"/>
        </w:rPr>
        <w:t>165.32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761—165.33</w:t>
      </w:r>
      <w:r>
        <w:rPr>
          <w:rFonts w:ascii="Times New Roman" w:hAnsi="Times New Roman"/>
          <w:b/>
          <w:i w:val="false"/>
          <w:color w:val="000000"/>
          <w:sz w:val="22"/>
        </w:rPr>
        <w:t xml:space="preserve">(465B) </w:t>
      </w:r>
      <w:r>
        <w:rPr>
          <w:rFonts w:ascii="Times New Roman" w:hAnsi="Times New Roman"/>
          <w:b/>
          <w:i w:val="false"/>
          <w:color w:val="000000"/>
          <w:sz w:val="22"/>
        </w:rPr>
        <w:t xml:space="preserve">Noncompliance. </w:t>
      </w:r>
      <w:r>
        <w:rPr>
          <w:rFonts w:ascii="Times New Roman" w:hAnsi="Times New Roman"/>
          <w:b w:val="false"/>
          <w:i w:val="false"/>
          <w:color w:val="000000"/>
          <w:sz w:val="22"/>
        </w:rPr>
        <w:t>The department may revoke funding commitments, seek repayment of funds already reimbursed, or take both actions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165.33(1)</w:t>
      </w:r>
      <w:r>
        <w:rPr>
          <w:rFonts w:ascii="Times New Roman" w:hAnsi="Times New Roman"/>
          <w:b w:val="false"/>
          <w:i w:val="false"/>
          <w:color w:val="000000"/>
          <w:sz w:val="22"/>
        </w:rPr>
        <w:t> </w:t>
      </w:r>
      <w:r>
        <w:rPr>
          <w:rFonts w:ascii="Times New Roman" w:hAnsi="Times New Roman"/>
          <w:b w:val="false"/>
          <w:i w:val="false"/>
          <w:color w:val="000000"/>
          <w:sz w:val="22"/>
        </w:rPr>
        <w:t>The terms of the project agreement have not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165.33(2)</w:t>
      </w:r>
      <w:r>
        <w:rPr>
          <w:rFonts w:ascii="Times New Roman" w:hAnsi="Times New Roman"/>
          <w:b w:val="false"/>
          <w:i w:val="false"/>
          <w:color w:val="000000"/>
          <w:sz w:val="22"/>
        </w:rPr>
        <w:t> </w:t>
      </w:r>
      <w:r>
        <w:rPr>
          <w:rFonts w:ascii="Times New Roman" w:hAnsi="Times New Roman"/>
          <w:b w:val="false"/>
          <w:i w:val="false"/>
          <w:color w:val="000000"/>
          <w:sz w:val="22"/>
        </w:rPr>
        <w:t>An agreement has not been signed within six months after the project sponsor receives the signature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165.33(3)</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 application contained inaccuracies, omissions, errors or misrepresentations.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165.33(4)</w:t>
      </w:r>
      <w:r>
        <w:rPr>
          <w:rFonts w:ascii="Times New Roman" w:hAnsi="Times New Roman"/>
          <w:b w:val="false"/>
          <w:i w:val="false"/>
          <w:color w:val="000000"/>
          <w:sz w:val="22"/>
        </w:rPr>
        <w:t> </w:t>
      </w:r>
      <w:r>
        <w:rPr>
          <w:rFonts w:ascii="Times New Roman" w:hAnsi="Times New Roman"/>
          <w:b w:val="false"/>
          <w:i w:val="false"/>
          <w:color w:val="000000"/>
          <w:sz w:val="22"/>
        </w:rPr>
        <w:t>The time schedule for project completion was misrepresented or has not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fails to comply with subrule </w:t>
      </w:r>
      <w:hyperlink r:id="rId12">
        <w:r>
          <w:rPr>
            <w:rStyle w:val="Hyperlink"/>
            <w:rFonts w:ascii="Times New Roman" w:hAnsi="Times New Roman"/>
            <w:b w:val="false"/>
            <w:i w:val="false"/>
            <w:color w:val="000000"/>
            <w:sz w:val="22"/>
          </w:rPr>
          <w:t>165.22(2), paragraph </w:t>
        </w:r>
        <w:r>
          <w:rPr>
            <w:rFonts w:ascii="Times New Roman" w:hAnsi="Times New Roman"/>
            <w:b w:val="false"/>
            <w:i/>
            <w:color w:val="000000"/>
            <w:sz w:val="22"/>
          </w:rPr>
          <w:t>“f.”</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3300C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465B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1/12/89—published 2/8/89, effective 1/13/89]</w:t>
      </w:r>
    </w:p>
    <w:p>
      <w:pPr>
        <w:spacing w:before="0" w:after="0"/>
        <w:ind w:left="120"/>
        <w:jc w:val="center"/>
      </w:pPr>
      <w:r>
        <w:rPr>
          <w:rFonts w:ascii="Times New Roman" w:hAnsi="Times New Roman"/>
          <w:b w:val="false"/>
          <w:i w:val="false"/>
          <w:color w:val="000000"/>
          <w:sz w:val="21"/>
        </w:rPr>
        <w:t>[Filed 5/18/89, Notice 2/8/89—published 6/14/89, effective 7/19/89]</w:t>
      </w:r>
    </w:p>
    <w:p>
      <w:pPr>
        <w:spacing w:before="0" w:after="0"/>
        <w:ind w:left="120"/>
        <w:jc w:val="center"/>
      </w:pPr>
      <w:r>
        <w:rPr>
          <w:rFonts w:ascii="Times New Roman" w:hAnsi="Times New Roman"/>
          <w:b w:val="false"/>
          <w:i w:val="false"/>
          <w:color w:val="000000"/>
          <w:sz w:val="21"/>
        </w:rPr>
        <w:t>[Filed 10/15/92, Notice 8/5/92—published 11/11/92, effective 12/16/92]</w:t>
      </w:r>
    </w:p>
    <w:p>
      <w:pPr>
        <w:spacing w:before="0" w:after="0"/>
        <w:ind w:left="120"/>
        <w:jc w:val="center"/>
      </w:pPr>
      <w:r>
        <w:rPr>
          <w:rFonts w:ascii="Times New Roman" w:hAnsi="Times New Roman"/>
          <w:b w:val="false"/>
          <w:i w:val="false"/>
          <w:color w:val="000000"/>
          <w:sz w:val="21"/>
        </w:rPr>
        <w:t>[Filed 3/10/94, Notice 2/2/94—published 3/30/94, effective 5/4/94]</w:t>
      </w:r>
    </w:p>
    <w:p>
      <w:pPr>
        <w:spacing w:before="0" w:after="0"/>
        <w:ind w:left="120"/>
        <w:jc w:val="center"/>
      </w:pPr>
      <w:r>
        <w:rPr>
          <w:rFonts w:ascii="Times New Roman" w:hAnsi="Times New Roman"/>
          <w:b w:val="false"/>
          <w:i w:val="false"/>
          <w:color w:val="000000"/>
          <w:sz w:val="21"/>
        </w:rPr>
        <w:t>[Filed emergency 6/28/94—published 7/20/94, effective 7/1/94]</w:t>
      </w:r>
    </w:p>
    <w:p>
      <w:pPr>
        <w:spacing w:before="0" w:after="0"/>
        <w:ind w:left="120"/>
        <w:jc w:val="center"/>
      </w:pPr>
      <w:r>
        <w:rPr>
          <w:rFonts w:ascii="Times New Roman" w:hAnsi="Times New Roman"/>
          <w:b w:val="false"/>
          <w:i w:val="false"/>
          <w:color w:val="000000"/>
          <w:sz w:val="21"/>
        </w:rPr>
        <w:t>[Filed emergency 11/28/94—published 12/21/94, effective 11/28/94]</w:t>
      </w:r>
    </w:p>
    <w:p>
      <w:pPr>
        <w:spacing w:before="0" w:after="0"/>
        <w:ind w:left="120"/>
        <w:jc w:val="center"/>
      </w:pPr>
      <w:r>
        <w:rPr>
          <w:rFonts w:ascii="Times New Roman" w:hAnsi="Times New Roman"/>
          <w:b w:val="false"/>
          <w:i w:val="false"/>
          <w:color w:val="000000"/>
          <w:sz w:val="21"/>
        </w:rPr>
        <w:t>[Filed ARC 3300C</w:t>
      </w:r>
      <w:r>
        <w:rPr>
          <w:rFonts w:ascii="Times New Roman" w:hAnsi="Times New Roman"/>
          <w:b w:val="false"/>
          <w:i w:val="false"/>
          <w:color w:val="000000"/>
          <w:sz w:val="21"/>
        </w:rPr>
        <w:t xml:space="preserve"> (Notice ARC 3132C,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8/11/21]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6A.21.pdf" Type="http://schemas.openxmlformats.org/officeDocument/2006/relationships/hyperlink" Id="rId6"/>
    <Relationship TargetMode="External" Target="https://www.legis.iowa.gov/docs/iac/rule/761.165.19.pdf" Type="http://schemas.openxmlformats.org/officeDocument/2006/relationships/hyperlink" Id="rId7"/>
    <Relationship TargetMode="External" Target="https://www.legis.iowa.gov/docs/iac/rule/761.165.15.pdf" Type="http://schemas.openxmlformats.org/officeDocument/2006/relationships/hyperlink" Id="rId8"/>
    <Relationship TargetMode="External" Target="https://www.legis.iowa.gov/docs/iac/rule/761.165.17.pdf" Type="http://schemas.openxmlformats.org/officeDocument/2006/relationships/hyperlink" Id="rId9"/>
    <Relationship TargetMode="External" Target="https://www.legis.iowa.gov/docs/iac/rule/761.165.12.pdf" Type="http://schemas.openxmlformats.org/officeDocument/2006/relationships/hyperlink" Id="rId10"/>
    <Relationship TargetMode="External" Target="https://www.legis.iowa.gov/docs/iac/rule/761.165.26.pdf" Type="http://schemas.openxmlformats.org/officeDocument/2006/relationships/hyperlink" Id="rId11"/>
    <Relationship TargetMode="External" Target="https://www.legis.iowa.gov/docs/iac/rule/761.165.22.pdf" Type="http://schemas.openxmlformats.org/officeDocument/2006/relationships/hyperlink" Id="rId12"/>
    <Relationship TargetMode="External" Target="https://www.legis.iowa.gov/docs/ico/chapter/465B.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