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164</w:t>
      </w:r>
    </w:p>
    <w:p>
      <w:pPr>
        <w:spacing w:before="0" w:after="0"/>
        <w:ind w:left="120"/>
        <w:jc w:val="center"/>
      </w:pPr>
      <w:r>
        <w:rPr>
          <w:rFonts w:ascii="Times New Roman" w:hAnsi="Times New Roman"/>
          <w:b w:val="false"/>
          <w:i w:val="false"/>
          <w:color w:val="000000"/>
          <w:sz w:val="21"/>
        </w:rPr>
        <w:t>TRAFFIC SAFETY IMPROVEMENT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761—164.1</w:t>
      </w:r>
      <w:r>
        <w:rPr>
          <w:rFonts w:ascii="Times New Roman" w:hAnsi="Times New Roman"/>
          <w:b/>
          <w:i w:val="false"/>
          <w:color w:val="000000"/>
          <w:sz w:val="22"/>
        </w:rPr>
        <w:t xml:space="preserve">(312)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Iowa transportation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“Jurisdiction” </w:t>
      </w:r>
      <w:r>
        <w:rPr>
          <w:rFonts w:ascii="Times New Roman" w:hAnsi="Times New Roman"/>
          <w:b w:val="false"/>
          <w:i w:val="false"/>
          <w:color w:val="000000"/>
          <w:sz w:val="22"/>
        </w:rPr>
        <w:t>means the department, a county, a city or any other public agency having responsibility for and control over a road or street.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“Other public agency” </w:t>
      </w:r>
      <w:r>
        <w:rPr>
          <w:rFonts w:ascii="Times New Roman" w:hAnsi="Times New Roman"/>
          <w:b w:val="false"/>
          <w:i w:val="false"/>
          <w:color w:val="000000"/>
          <w:sz w:val="22"/>
        </w:rPr>
        <w:t xml:space="preserve">means any board, commission or agency having jurisdiction and control over roads and streets in any state park, state institution and other state land. State park, state institution and other state land means as defined in Iowa Code section </w:t>
      </w:r>
      <w:hyperlink r:id="rId5">
        <w:r>
          <w:rPr>
            <w:rStyle w:val="Hyperlink"/>
            <w:rFonts w:ascii="Times New Roman" w:hAnsi="Times New Roman"/>
            <w:b w:val="false"/>
            <w:i w:val="false"/>
            <w:color w:val="000000"/>
            <w:sz w:val="22"/>
          </w:rPr>
          <w:t>306.3(10)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“Traffic safety improvement program” </w:t>
      </w:r>
      <w:r>
        <w:rPr>
          <w:rFonts w:ascii="Times New Roman" w:hAnsi="Times New Roman"/>
          <w:b w:val="false"/>
          <w:i w:val="false"/>
          <w:color w:val="000000"/>
          <w:sz w:val="22"/>
        </w:rPr>
        <w:t xml:space="preserve">means the funding program created for traffic safety improvement projects pursuant to Iowa Code section </w:t>
      </w:r>
      <w:hyperlink r:id="rId6">
        <w:r>
          <w:rPr>
            <w:rStyle w:val="Hyperlink"/>
            <w:rFonts w:ascii="Times New Roman" w:hAnsi="Times New Roman"/>
            <w:b w:val="false"/>
            <w:i w:val="false"/>
            <w:color w:val="000000"/>
            <w:sz w:val="22"/>
          </w:rPr>
          <w:t>312.2(11)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4532C</w:t>
      </w:r>
      <w:r>
        <w:rPr>
          <w:rFonts w:ascii="Times New Roman" w:hAnsi="Times New Roman"/>
          <w:b w:val="false"/>
          <w:i w:val="false"/>
          <w:color w:val="000000"/>
          <w:sz w:val="16"/>
        </w:rPr>
        <w:t>, IAB 7/3/19, effective 8/7/19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761—164.2</w:t>
      </w:r>
      <w:r>
        <w:rPr>
          <w:rFonts w:ascii="Times New Roman" w:hAnsi="Times New Roman"/>
          <w:b/>
          <w:i w:val="false"/>
          <w:color w:val="000000"/>
          <w:sz w:val="22"/>
        </w:rPr>
        <w:t xml:space="preserve">(312) </w:t>
      </w:r>
      <w:r>
        <w:rPr>
          <w:rFonts w:ascii="Times New Roman" w:hAnsi="Times New Roman"/>
          <w:b/>
          <w:i w:val="false"/>
          <w:color w:val="000000"/>
          <w:sz w:val="22"/>
        </w:rPr>
        <w:t xml:space="preserve">Information and forms. </w:t>
      </w:r>
      <w:r>
        <w:rPr>
          <w:rFonts w:ascii="Times New Roman" w:hAnsi="Times New Roman"/>
          <w:b w:val="false"/>
          <w:i w:val="false"/>
          <w:color w:val="000000"/>
          <w:sz w:val="22"/>
        </w:rPr>
        <w:t xml:space="preserve">Information, instructions and application forms may be obtained from the Traffic and Safety Bureau, Iowa Department of Transportation, 800 Lincoln Way, Ames, Iowa 50010; telephone (515)239-1557; or on the department’s website at </w:t>
      </w:r>
      <w:hyperlink r:id="rId7">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4532C</w:t>
      </w:r>
      <w:r>
        <w:rPr>
          <w:rFonts w:ascii="Times New Roman" w:hAnsi="Times New Roman"/>
          <w:b w:val="false"/>
          <w:i w:val="false"/>
          <w:color w:val="000000"/>
          <w:sz w:val="16"/>
        </w:rPr>
        <w:t>, IAB 7/3/19, effective 8/7/19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761—164.3</w:t>
      </w:r>
      <w:r>
        <w:rPr>
          <w:rFonts w:ascii="Times New Roman" w:hAnsi="Times New Roman"/>
          <w:b/>
          <w:i w:val="false"/>
          <w:color w:val="000000"/>
          <w:sz w:val="22"/>
        </w:rPr>
        <w:t xml:space="preserve">(312) </w:t>
      </w:r>
      <w:r>
        <w:rPr>
          <w:rFonts w:ascii="Times New Roman" w:hAnsi="Times New Roman"/>
          <w:b/>
          <w:i w:val="false"/>
          <w:color w:val="000000"/>
          <w:sz w:val="22"/>
        </w:rPr>
        <w:t xml:space="preserve">Program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164.3(1)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traffic safety improvement program provides funding for traffic safety improvements or studies on public roads under county, city or state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164.3(2)</w:t>
      </w:r>
      <w:r>
        <w:rPr>
          <w:rFonts w:ascii="Times New Roman" w:hAnsi="Times New Roman"/>
          <w:b w:val="false"/>
          <w:i w:val="false"/>
          <w:color w:val="000000"/>
          <w:sz w:val="22"/>
        </w:rPr>
        <w:t> </w:t>
      </w:r>
      <w:r>
        <w:rPr>
          <w:rFonts w:ascii="Times New Roman" w:hAnsi="Times New Roman"/>
          <w:b w:val="false"/>
          <w:i/>
          <w:color w:val="000000"/>
          <w:sz w:val="22"/>
        </w:rPr>
        <w:t xml:space="preserve">Local participation. </w:t>
      </w:r>
      <w:r>
        <w:rPr>
          <w:rFonts w:ascii="Times New Roman" w:hAnsi="Times New Roman"/>
          <w:b w:val="false"/>
          <w:i w:val="false"/>
          <w:color w:val="000000"/>
          <w:sz w:val="22"/>
        </w:rPr>
        <w:t>The department shall administer the traffic safety improvement program as a statewide program and will coordinate local participation in the review and evaluation of applications for 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164.3(3)</w:t>
      </w:r>
      <w:r>
        <w:rPr>
          <w:rFonts w:ascii="Times New Roman" w:hAnsi="Times New Roman"/>
          <w:b w:val="false"/>
          <w:i w:val="false"/>
          <w:color w:val="000000"/>
          <w:sz w:val="22"/>
        </w:rPr>
        <w:t> </w:t>
      </w:r>
      <w:r>
        <w:rPr>
          <w:rFonts w:ascii="Times New Roman" w:hAnsi="Times New Roman"/>
          <w:b w:val="false"/>
          <w:i/>
          <w:color w:val="000000"/>
          <w:sz w:val="22"/>
        </w:rPr>
        <w:t xml:space="preserve">Funding.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traffic and safety bureau shall review all applications and the availability of funds in order to make funding recommendations to the commission. The commission may choose to fund all or part of a project or limit funding to specific work items. Funding may also be made dependent upon adherence to a time schedule or fulfillment of specified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need not commit all funds available during a fiscal year. Funds not committed by the commission shall be retained for subsequent programming cycles. Awarded funds not used within a specified period or remaining after project closure shall be retained for subsequent programming cycles.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maximum traffic safety improvement program funding for a site-specific improvement shall not exceed $500,000. Total funding allotted for the traffic control device category shall not exceed $500,000 annually. Total funding allotted for the studies and outreach category shall not exceed $500,000 annually. All project costs exceeding the commitment of traffic safety improvement program funds shall be the responsibility of the applicant.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4532C</w:t>
      </w:r>
      <w:r>
        <w:rPr>
          <w:rFonts w:ascii="Times New Roman" w:hAnsi="Times New Roman"/>
          <w:b w:val="false"/>
          <w:i w:val="false"/>
          <w:color w:val="000000"/>
          <w:sz w:val="16"/>
        </w:rPr>
        <w:t>, IAB 7/3/19, effective 8/7/19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761—164.4</w:t>
      </w:r>
      <w:r>
        <w:rPr>
          <w:rFonts w:ascii="Times New Roman" w:hAnsi="Times New Roman"/>
          <w:b/>
          <w:i w:val="false"/>
          <w:color w:val="000000"/>
          <w:sz w:val="22"/>
        </w:rPr>
        <w:t xml:space="preserve">(312) </w:t>
      </w:r>
      <w:r>
        <w:rPr>
          <w:rFonts w:ascii="Times New Roman" w:hAnsi="Times New Roman"/>
          <w:b/>
          <w:i w:val="false"/>
          <w:color w:val="000000"/>
          <w:sz w:val="22"/>
        </w:rPr>
        <w:t xml:space="preserve">Applicant eligibility. </w:t>
      </w:r>
      <w:r>
        <w:rPr>
          <w:rFonts w:ascii="Times New Roman" w:hAnsi="Times New Roman"/>
          <w:b w:val="false"/>
          <w:i w:val="false"/>
          <w:color w:val="000000"/>
          <w:sz w:val="22"/>
        </w:rPr>
        <w:t>Any jurisdiction in the state of Iowa is eligible to apply for traffic safety improvement program funding. Applicants shall designate one jurisdiction as the principal contact for a project involving multiple jurisdictions.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4532C</w:t>
      </w:r>
      <w:r>
        <w:rPr>
          <w:rFonts w:ascii="Times New Roman" w:hAnsi="Times New Roman"/>
          <w:b w:val="false"/>
          <w:i w:val="false"/>
          <w:color w:val="000000"/>
          <w:sz w:val="16"/>
        </w:rPr>
        <w:t>, IAB 7/3/19, effective 8/7/19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761—164.5</w:t>
      </w:r>
      <w:r>
        <w:rPr>
          <w:rFonts w:ascii="Times New Roman" w:hAnsi="Times New Roman"/>
          <w:b/>
          <w:i w:val="false"/>
          <w:color w:val="000000"/>
          <w:sz w:val="22"/>
        </w:rPr>
        <w:t xml:space="preserve">(312) </w:t>
      </w:r>
      <w:r>
        <w:rPr>
          <w:rFonts w:ascii="Times New Roman" w:hAnsi="Times New Roman"/>
          <w:b/>
          <w:i w:val="false"/>
          <w:color w:val="000000"/>
          <w:sz w:val="22"/>
        </w:rPr>
        <w:t xml:space="preserve">Project eligibility. </w:t>
      </w:r>
      <w:r>
        <w:rPr>
          <w:rFonts w:ascii="Times New Roman" w:hAnsi="Times New Roman"/>
          <w:b w:val="false"/>
          <w:i w:val="false"/>
          <w:color w:val="000000"/>
          <w:sz w:val="22"/>
        </w:rPr>
        <w:t>Projects located on a public roadway within the state of Iowa are eligible for funding. Projects located on a private road or for a private purpose are not eligible.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4532C</w:t>
      </w:r>
      <w:r>
        <w:rPr>
          <w:rFonts w:ascii="Times New Roman" w:hAnsi="Times New Roman"/>
          <w:b w:val="false"/>
          <w:i w:val="false"/>
          <w:color w:val="000000"/>
          <w:sz w:val="16"/>
        </w:rPr>
        <w:t>, IAB 7/3/19, effective 8/7/19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761—164.6</w:t>
      </w:r>
      <w:r>
        <w:rPr>
          <w:rFonts w:ascii="Times New Roman" w:hAnsi="Times New Roman"/>
          <w:b/>
          <w:i w:val="false"/>
          <w:color w:val="000000"/>
          <w:sz w:val="22"/>
        </w:rPr>
        <w:t xml:space="preserve">(312) </w:t>
      </w:r>
      <w:r>
        <w:rPr>
          <w:rFonts w:ascii="Times New Roman" w:hAnsi="Times New Roman"/>
          <w:b/>
          <w:i w:val="false"/>
          <w:color w:val="000000"/>
          <w:sz w:val="22"/>
        </w:rPr>
        <w:t xml:space="preserve">Eligible project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164.6(1)</w:t>
      </w:r>
      <w:r>
        <w:rPr>
          <w:rFonts w:ascii="Times New Roman" w:hAnsi="Times New Roman"/>
          <w:b w:val="false"/>
          <w:i w:val="false"/>
          <w:color w:val="000000"/>
          <w:sz w:val="22"/>
        </w:rPr>
        <w:t> </w:t>
      </w:r>
      <w:r>
        <w:rPr>
          <w:rFonts w:ascii="Times New Roman" w:hAnsi="Times New Roman"/>
          <w:b w:val="false"/>
          <w:i/>
          <w:color w:val="000000"/>
          <w:sz w:val="22"/>
        </w:rPr>
        <w:t xml:space="preserve">Site-specific improvements category. </w:t>
      </w:r>
      <w:r>
        <w:rPr>
          <w:rFonts w:ascii="Times New Roman" w:hAnsi="Times New Roman"/>
          <w:b w:val="false"/>
          <w:i w:val="false"/>
          <w:color w:val="000000"/>
          <w:sz w:val="22"/>
        </w:rPr>
        <w:t>Activities considered eligible for funding are those required by, or integral to, the safety aspects of the project. Eligible activities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Road modernization, upgrading or reconstruction.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Intersection improvements.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Right-of-way purchases.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Drainage and erosion control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Traffic control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Traffic barriers and other roadside safety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Removal of trees and other fixed objects.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164.6(2)</w:t>
      </w:r>
      <w:r>
        <w:rPr>
          <w:rFonts w:ascii="Times New Roman" w:hAnsi="Times New Roman"/>
          <w:b w:val="false"/>
          <w:i w:val="false"/>
          <w:color w:val="000000"/>
          <w:sz w:val="22"/>
        </w:rPr>
        <w:t> </w:t>
      </w:r>
      <w:r>
        <w:rPr>
          <w:rFonts w:ascii="Times New Roman" w:hAnsi="Times New Roman"/>
          <w:b w:val="false"/>
          <w:i/>
          <w:color w:val="000000"/>
          <w:sz w:val="22"/>
        </w:rPr>
        <w:t xml:space="preserve">Traffic control devices category. </w:t>
      </w:r>
      <w:r>
        <w:rPr>
          <w:rFonts w:ascii="Times New Roman" w:hAnsi="Times New Roman"/>
          <w:b w:val="false"/>
          <w:i w:val="false"/>
          <w:color w:val="000000"/>
          <w:sz w:val="22"/>
        </w:rPr>
        <w:t xml:space="preserve">The cost of materials purchased for initial installation of traffic control devices or replacement of obsolete traffic control devices is considered eligible for funding. Devices shall comply with the applicable warrants in the “Manual on Uniform Traffic Control Devices” (MUTCD) as adopted in rule </w:t>
      </w:r>
      <w:hyperlink r:id="rId8">
        <w:r>
          <w:rPr>
            <w:rStyle w:val="Hyperlink"/>
            <w:rFonts w:ascii="Times New Roman" w:hAnsi="Times New Roman"/>
            <w:b w:val="false"/>
            <w:i w:val="false"/>
            <w:color w:val="000000"/>
            <w:sz w:val="22"/>
          </w:rPr>
          <w:t>761—130.1(321)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164.6(3)</w:t>
      </w:r>
      <w:r>
        <w:rPr>
          <w:rFonts w:ascii="Times New Roman" w:hAnsi="Times New Roman"/>
          <w:b w:val="false"/>
          <w:i w:val="false"/>
          <w:color w:val="000000"/>
          <w:sz w:val="22"/>
        </w:rPr>
        <w:t> </w:t>
      </w:r>
      <w:r>
        <w:rPr>
          <w:rFonts w:ascii="Times New Roman" w:hAnsi="Times New Roman"/>
          <w:b w:val="false"/>
          <w:i/>
          <w:color w:val="000000"/>
          <w:sz w:val="22"/>
        </w:rPr>
        <w:t xml:space="preserve">Studies and outreach category. </w:t>
      </w:r>
      <w:r>
        <w:rPr>
          <w:rFonts w:ascii="Times New Roman" w:hAnsi="Times New Roman"/>
          <w:b w:val="false"/>
          <w:i w:val="false"/>
          <w:color w:val="000000"/>
          <w:sz w:val="22"/>
        </w:rPr>
        <w:t>Activities considered eligible for funding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Research addressing statewide traffic safety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Studies addressing traffic safety concerns at specific locations.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Initiatives emphasizing or improving traffic safety techniques or policies.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4532C</w:t>
      </w:r>
      <w:r>
        <w:rPr>
          <w:rFonts w:ascii="Times New Roman" w:hAnsi="Times New Roman"/>
          <w:b w:val="false"/>
          <w:i w:val="false"/>
          <w:color w:val="000000"/>
          <w:sz w:val="16"/>
        </w:rPr>
        <w:t>, IAB 7/3/19, effective 8/7/19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761—164.7</w:t>
      </w:r>
      <w:r>
        <w:rPr>
          <w:rFonts w:ascii="Times New Roman" w:hAnsi="Times New Roman"/>
          <w:b/>
          <w:i w:val="false"/>
          <w:color w:val="000000"/>
          <w:sz w:val="22"/>
        </w:rPr>
        <w:t xml:space="preserve">(312) </w:t>
      </w:r>
      <w:r>
        <w:rPr>
          <w:rFonts w:ascii="Times New Roman" w:hAnsi="Times New Roman"/>
          <w:b/>
          <w:i w:val="false"/>
          <w:color w:val="000000"/>
          <w:sz w:val="22"/>
        </w:rPr>
        <w:t xml:space="preserve">Ineligible project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164.7(1)</w:t>
      </w:r>
      <w:r>
        <w:rPr>
          <w:rFonts w:ascii="Times New Roman" w:hAnsi="Times New Roman"/>
          <w:b w:val="false"/>
          <w:i w:val="false"/>
          <w:color w:val="000000"/>
          <w:sz w:val="22"/>
        </w:rPr>
        <w:t> </w:t>
      </w:r>
      <w:r>
        <w:rPr>
          <w:rFonts w:ascii="Times New Roman" w:hAnsi="Times New Roman"/>
          <w:b w:val="false"/>
          <w:i w:val="false"/>
          <w:color w:val="000000"/>
          <w:sz w:val="22"/>
        </w:rPr>
        <w:t>Any and all costs incurred prior to commission approval of funding for a project are ineligible.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164.7(2)</w:t>
      </w:r>
      <w:r>
        <w:rPr>
          <w:rFonts w:ascii="Times New Roman" w:hAnsi="Times New Roman"/>
          <w:b w:val="false"/>
          <w:i w:val="false"/>
          <w:color w:val="000000"/>
          <w:sz w:val="22"/>
        </w:rPr>
        <w:t> </w:t>
      </w:r>
      <w:r>
        <w:rPr>
          <w:rFonts w:ascii="Times New Roman" w:hAnsi="Times New Roman"/>
          <w:b w:val="false"/>
          <w:i w:val="false"/>
          <w:color w:val="000000"/>
          <w:sz w:val="22"/>
        </w:rPr>
        <w:t>Activities and costs not eligible for traffic safety improvement program funding within the site-specific improvements category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Routine maintenance of a road, street, bridge, culvert or traffic control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Contract administration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Design and construction engineering and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Utility construction, reconstruction or adjustment, except as an integral part of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Sidewalks, shared-use paths, or railroad-highway crossings, except as an integral part of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Maintenance or energy costs for traffic control devices or lighting.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Expenditures for items not related to the roadway.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164.7(3)</w:t>
      </w:r>
      <w:r>
        <w:rPr>
          <w:rFonts w:ascii="Times New Roman" w:hAnsi="Times New Roman"/>
          <w:b w:val="false"/>
          <w:i w:val="false"/>
          <w:color w:val="000000"/>
          <w:sz w:val="22"/>
        </w:rPr>
        <w:t> </w:t>
      </w:r>
      <w:r>
        <w:rPr>
          <w:rFonts w:ascii="Times New Roman" w:hAnsi="Times New Roman"/>
          <w:b w:val="false"/>
          <w:i w:val="false"/>
          <w:color w:val="000000"/>
          <w:sz w:val="22"/>
        </w:rPr>
        <w:t>Activities and costs not eligible for traffic safety improvement program funding within the traffic control devices category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Maintenance or energy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Installation costs.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4532C</w:t>
      </w:r>
      <w:r>
        <w:rPr>
          <w:rFonts w:ascii="Times New Roman" w:hAnsi="Times New Roman"/>
          <w:b w:val="false"/>
          <w:i w:val="false"/>
          <w:color w:val="000000"/>
          <w:sz w:val="16"/>
        </w:rPr>
        <w:t>, IAB 7/3/19, effective 8/7/19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761—164.8</w:t>
      </w:r>
      <w:r>
        <w:rPr>
          <w:rFonts w:ascii="Times New Roman" w:hAnsi="Times New Roman"/>
          <w:b/>
          <w:i w:val="false"/>
          <w:color w:val="000000"/>
          <w:sz w:val="22"/>
        </w:rPr>
        <w:t xml:space="preserve">(312) </w:t>
      </w:r>
      <w:r>
        <w:rPr>
          <w:rFonts w:ascii="Times New Roman" w:hAnsi="Times New Roman"/>
          <w:b/>
          <w:i w:val="false"/>
          <w:color w:val="000000"/>
          <w:sz w:val="22"/>
        </w:rPr>
        <w:t xml:space="preserve">Applications. </w:t>
      </w:r>
      <w:r>
        <w:rPr>
          <w:rFonts w:ascii="Times New Roman" w:hAnsi="Times New Roman"/>
          <w:b w:val="false"/>
          <w:i w:val="false"/>
          <w:color w:val="000000"/>
          <w:sz w:val="22"/>
        </w:rPr>
        <w:t>Applications for funding shall address needs in one of three categories: site-specific improvements, traffic control devices, or studies and outreach. Application procedures for each funding category will be distinct.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164.8(1)</w:t>
      </w:r>
      <w:r>
        <w:rPr>
          <w:rFonts w:ascii="Times New Roman" w:hAnsi="Times New Roman"/>
          <w:b w:val="false"/>
          <w:i w:val="false"/>
          <w:color w:val="000000"/>
          <w:sz w:val="22"/>
        </w:rPr>
        <w:t> </w:t>
      </w:r>
      <w:r>
        <w:rPr>
          <w:rFonts w:ascii="Times New Roman" w:hAnsi="Times New Roman"/>
          <w:b w:val="false"/>
          <w:i w:val="false"/>
          <w:color w:val="000000"/>
          <w:sz w:val="22"/>
        </w:rPr>
        <w:t>Applications in the site-specific improvements category shall be submitted electronically on forms provided on the department’s website. Required information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applicant’s name, mailing address, telephone number, and a designated contact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preliminary project concept statement, including a location map and a sketch plan. The concept must be reasonable from a traffic engineering standpoint and detailed enough to generate project cost estimates.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Justification for the proposed construction project. Justification may be based on a location’s crash history, a location’s crash risk, or recommendations from a traffic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Data showing the anticipated effect of the project on traffic safety. Data shall include crash history based on the department’s current crash analysis software and the anticipated crash reduction as a result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itemized cost estimate for the project including a list of the sources and amounts of supplementary funds for the project. Safety-related work items and quantities shall be listed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time schedule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jurisdiction’s official endorsement, where applicable, of the project and written assurance that the improved site will be adequately maintained for a specified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164.8(2)</w:t>
      </w:r>
      <w:r>
        <w:rPr>
          <w:rFonts w:ascii="Times New Roman" w:hAnsi="Times New Roman"/>
          <w:b w:val="false"/>
          <w:i w:val="false"/>
          <w:color w:val="000000"/>
          <w:sz w:val="22"/>
        </w:rPr>
        <w:t> </w:t>
      </w:r>
      <w:r>
        <w:rPr>
          <w:rFonts w:ascii="Times New Roman" w:hAnsi="Times New Roman"/>
          <w:b w:val="false"/>
          <w:i w:val="false"/>
          <w:color w:val="000000"/>
          <w:sz w:val="22"/>
        </w:rPr>
        <w:t>Applications in the traffic control devices category shall be submitted electronically on forms provided on the department’s website. Required information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applicant’s name, mailing address, telephone number, and a designated contact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list of the number and types of devices requested, and whether each is for initial placement or a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Justification for the requested devices, including compliance with the applicable warrants in the “Manual on Uniform Traffic Control Devices” (MUTCD) as adopted in rule </w:t>
      </w:r>
      <w:hyperlink r:id="rId9">
        <w:r>
          <w:rPr>
            <w:rStyle w:val="Hyperlink"/>
            <w:rFonts w:ascii="Times New Roman" w:hAnsi="Times New Roman"/>
            <w:b w:val="false"/>
            <w:i w:val="false"/>
            <w:color w:val="000000"/>
            <w:sz w:val="22"/>
          </w:rPr>
          <w:t>761—130.1</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cost estimate.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time schedule for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jurisdiction’s official endorsement of the traffic control device project and written assurance that the traffic control device will be adequately maintained for a specified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164.8(3)</w:t>
      </w:r>
      <w:r>
        <w:rPr>
          <w:rFonts w:ascii="Times New Roman" w:hAnsi="Times New Roman"/>
          <w:b w:val="false"/>
          <w:i w:val="false"/>
          <w:color w:val="000000"/>
          <w:sz w:val="22"/>
        </w:rPr>
        <w:t> </w:t>
      </w:r>
      <w:r>
        <w:rPr>
          <w:rFonts w:ascii="Times New Roman" w:hAnsi="Times New Roman"/>
          <w:b w:val="false"/>
          <w:i w:val="false"/>
          <w:color w:val="000000"/>
          <w:sz w:val="22"/>
        </w:rPr>
        <w:t>Applications in the studies and outreach category shall be submitted electronically on forms provided on the department’s website. Required information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applicant’s name, mailing address, telephone number and a designated contact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proposed subject matter and the goals or expected results of the effort.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cost estimate.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time schedule.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4532C</w:t>
      </w:r>
      <w:r>
        <w:rPr>
          <w:rFonts w:ascii="Times New Roman" w:hAnsi="Times New Roman"/>
          <w:b w:val="false"/>
          <w:i w:val="false"/>
          <w:color w:val="000000"/>
          <w:sz w:val="16"/>
        </w:rPr>
        <w:t>, IAB 7/3/19, effective 8/7/19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761—164.9</w:t>
      </w:r>
      <w:r>
        <w:rPr>
          <w:rFonts w:ascii="Times New Roman" w:hAnsi="Times New Roman"/>
          <w:b/>
          <w:i w:val="false"/>
          <w:color w:val="000000"/>
          <w:sz w:val="22"/>
        </w:rPr>
        <w:t xml:space="preserve">(312) </w:t>
      </w:r>
      <w:r>
        <w:rPr>
          <w:rFonts w:ascii="Times New Roman" w:hAnsi="Times New Roman"/>
          <w:b/>
          <w:i w:val="false"/>
          <w:color w:val="000000"/>
          <w:sz w:val="22"/>
        </w:rPr>
        <w:t xml:space="preserve">Processing the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164.9(1)</w:t>
      </w:r>
      <w:r>
        <w:rPr>
          <w:rFonts w:ascii="Times New Roman" w:hAnsi="Times New Roman"/>
          <w:b w:val="false"/>
          <w:i w:val="false"/>
          <w:color w:val="000000"/>
          <w:sz w:val="22"/>
        </w:rPr>
        <w:t> </w:t>
      </w:r>
      <w:r>
        <w:rPr>
          <w:rFonts w:ascii="Times New Roman" w:hAnsi="Times New Roman"/>
          <w:b w:val="false"/>
          <w:i/>
          <w:color w:val="000000"/>
          <w:sz w:val="22"/>
        </w:rPr>
        <w:t xml:space="preserve">Submission.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jurisdiction shall submit the complete application electronically to the traffic and safety bureau. An application may be submitted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applications received before August 16 of each year shall be evaluated for funding in the following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unfunded application may be resubmitted for consideration during a subsequent funding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application may be withdrawn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164.9(2)</w:t>
      </w:r>
      <w:r>
        <w:rPr>
          <w:rFonts w:ascii="Times New Roman" w:hAnsi="Times New Roman"/>
          <w:b w:val="false"/>
          <w:i w:val="false"/>
          <w:color w:val="000000"/>
          <w:sz w:val="22"/>
        </w:rPr>
        <w:t> </w:t>
      </w:r>
      <w:r>
        <w:rPr>
          <w:rFonts w:ascii="Times New Roman" w:hAnsi="Times New Roman"/>
          <w:b w:val="false"/>
          <w:i/>
          <w:color w:val="000000"/>
          <w:sz w:val="22"/>
        </w:rPr>
        <w:t xml:space="preserve">Approval of projects. </w:t>
      </w:r>
      <w:r>
        <w:rPr>
          <w:rFonts w:ascii="Times New Roman" w:hAnsi="Times New Roman"/>
          <w:b w:val="false"/>
          <w:i w:val="false"/>
          <w:color w:val="000000"/>
          <w:sz w:val="22"/>
        </w:rPr>
        <w:t>Department staff shall prepare, with input from local officials, a proposed program of projects for each funding category and submit the programs to the commission for approval. The criterion for determining funding priorities in each category is the demonstrated relationship of the project to traffic safety.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7618B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 xml:space="preserve">; </w:t>
      </w:r>
      <w:r>
        <w:rPr>
          <w:rFonts w:ascii="Times New Roman" w:hAnsi="Times New Roman"/>
          <w:b/>
          <w:i w:val="false"/>
          <w:color w:val="000000"/>
          <w:sz w:val="16"/>
        </w:rPr>
        <w:t>ARC 0033C</w:t>
      </w:r>
      <w:r>
        <w:rPr>
          <w:rFonts w:ascii="Times New Roman" w:hAnsi="Times New Roman"/>
          <w:b w:val="false"/>
          <w:i w:val="false"/>
          <w:color w:val="000000"/>
          <w:sz w:val="16"/>
        </w:rPr>
        <w:t>, IAB 3/7/12, effective 4/11/12</w:t>
      </w:r>
      <w:r>
        <w:rPr>
          <w:rFonts w:ascii="Times New Roman" w:hAnsi="Times New Roman"/>
          <w:b w:val="false"/>
          <w:i w:val="false"/>
          <w:color w:val="000000"/>
          <w:sz w:val="16"/>
        </w:rPr>
        <w:t xml:space="preserve">; </w:t>
      </w:r>
      <w:r>
        <w:rPr>
          <w:rFonts w:ascii="Times New Roman" w:hAnsi="Times New Roman"/>
          <w:b/>
          <w:i w:val="false"/>
          <w:color w:val="000000"/>
          <w:sz w:val="16"/>
        </w:rPr>
        <w:t>ARC 4532C</w:t>
      </w:r>
      <w:r>
        <w:rPr>
          <w:rFonts w:ascii="Times New Roman" w:hAnsi="Times New Roman"/>
          <w:b w:val="false"/>
          <w:i w:val="false"/>
          <w:color w:val="000000"/>
          <w:sz w:val="16"/>
        </w:rPr>
        <w:t>, IAB 7/3/19, effective 8/7/19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761—164.10</w:t>
      </w:r>
      <w:r>
        <w:rPr>
          <w:rFonts w:ascii="Times New Roman" w:hAnsi="Times New Roman"/>
          <w:b/>
          <w:i w:val="false"/>
          <w:color w:val="000000"/>
          <w:sz w:val="22"/>
        </w:rPr>
        <w:t xml:space="preserve">(312) </w:t>
      </w:r>
      <w:r>
        <w:rPr>
          <w:rFonts w:ascii="Times New Roman" w:hAnsi="Times New Roman"/>
          <w:b/>
          <w:i w:val="false"/>
          <w:color w:val="000000"/>
          <w:sz w:val="22"/>
        </w:rPr>
        <w:t xml:space="preserve">Project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164.10(1)</w:t>
      </w:r>
      <w:r>
        <w:rPr>
          <w:rFonts w:ascii="Times New Roman" w:hAnsi="Times New Roman"/>
          <w:b w:val="false"/>
          <w:i w:val="false"/>
          <w:color w:val="000000"/>
          <w:sz w:val="22"/>
        </w:rPr>
        <w:t> </w:t>
      </w:r>
      <w:r>
        <w:rPr>
          <w:rFonts w:ascii="Times New Roman" w:hAnsi="Times New Roman"/>
          <w:b w:val="false"/>
          <w:i w:val="false"/>
          <w:color w:val="000000"/>
          <w:sz w:val="22"/>
        </w:rPr>
        <w:t>After the commission has approved funding, a project agreement shall be negotiated and executed between the department and the jurisdiction. The agreement shall specify the conditions for project funding, which may include such items as the responsibility for planning, design, right-of-way, contracting, construction, materials inspection, documentation and the criteria for each. The agreement shall also specify the funding level for the eligible work items.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164.10(2)</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reimburse the jurisdiction for actual eligible project costs not to exceed the amounts authorized by the project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4532C</w:t>
      </w:r>
      <w:r>
        <w:rPr>
          <w:rFonts w:ascii="Times New Roman" w:hAnsi="Times New Roman"/>
          <w:b w:val="false"/>
          <w:i w:val="false"/>
          <w:color w:val="000000"/>
          <w:sz w:val="16"/>
        </w:rPr>
        <w:t>, IAB 7/3/19, effective 8/7/19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312.2(11)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9/22/88 after Notice 8/10/88—published 10/19/88, effective 9/30/88]</w:t>
      </w:r>
    </w:p>
    <w:p>
      <w:pPr>
        <w:spacing w:before="0" w:after="0"/>
        <w:ind w:left="120"/>
        <w:jc w:val="center"/>
      </w:pPr>
      <w:r>
        <w:rPr>
          <w:rFonts w:ascii="Times New Roman" w:hAnsi="Times New Roman"/>
          <w:b w:val="false"/>
          <w:i w:val="false"/>
          <w:color w:val="000000"/>
          <w:sz w:val="21"/>
        </w:rPr>
        <w:t>[Filed 1/15/92, Notice 12/11/91—published 2/5/92, effective 3/11/92]</w:t>
      </w:r>
    </w:p>
    <w:p>
      <w:pPr>
        <w:spacing w:before="0" w:after="0"/>
        <w:ind w:left="120"/>
        <w:jc w:val="center"/>
      </w:pPr>
      <w:r>
        <w:rPr>
          <w:rFonts w:ascii="Times New Roman" w:hAnsi="Times New Roman"/>
          <w:b w:val="false"/>
          <w:i w:val="false"/>
          <w:color w:val="000000"/>
          <w:sz w:val="21"/>
        </w:rPr>
        <w:t>[Filed emergency 11/17/98—published 12/16/98, effective 11/19/98]</w:t>
      </w:r>
    </w:p>
    <w:p>
      <w:pPr>
        <w:spacing w:before="0" w:after="0"/>
        <w:ind w:left="120"/>
        <w:jc w:val="center"/>
      </w:pPr>
      <w:r>
        <w:rPr>
          <w:rFonts w:ascii="Times New Roman" w:hAnsi="Times New Roman"/>
          <w:b w:val="false"/>
          <w:i w:val="false"/>
          <w:color w:val="000000"/>
          <w:sz w:val="21"/>
        </w:rPr>
        <w:t>[Filed 10/10/02, Notice 8/7/02—published 10/30/02, effective 12/4/02]</w:t>
      </w:r>
    </w:p>
    <w:p>
      <w:pPr>
        <w:spacing w:before="0" w:after="0"/>
        <w:ind w:left="120"/>
        <w:jc w:val="center"/>
      </w:pPr>
      <w:r>
        <w:rPr>
          <w:rFonts w:ascii="Times New Roman" w:hAnsi="Times New Roman"/>
          <w:b w:val="false"/>
          <w:i w:val="false"/>
          <w:color w:val="000000"/>
          <w:sz w:val="21"/>
        </w:rPr>
        <w:t>[Filed ARC 7618B</w:t>
      </w:r>
      <w:r>
        <w:rPr>
          <w:rFonts w:ascii="Times New Roman" w:hAnsi="Times New Roman"/>
          <w:b w:val="false"/>
          <w:i w:val="false"/>
          <w:color w:val="000000"/>
          <w:sz w:val="21"/>
        </w:rPr>
        <w:t xml:space="preserve"> (Notice ARC 7482B, IAB 1/14/09)</w:t>
      </w:r>
      <w:r>
        <w:rPr>
          <w:rFonts w:ascii="Times New Roman" w:hAnsi="Times New Roman"/>
          <w:b w:val="false"/>
          <w:i w:val="false"/>
          <w:color w:val="000000"/>
          <w:sz w:val="21"/>
        </w:rPr>
        <w:t>, IAB 3/11/09, effective 4/15/09]</w:t>
      </w:r>
    </w:p>
    <w:p>
      <w:pPr>
        <w:spacing w:before="0" w:after="0"/>
        <w:ind w:left="120"/>
        <w:jc w:val="center"/>
      </w:pPr>
      <w:r>
        <w:rPr>
          <w:rFonts w:ascii="Times New Roman" w:hAnsi="Times New Roman"/>
          <w:b w:val="false"/>
          <w:i w:val="false"/>
          <w:color w:val="000000"/>
          <w:sz w:val="21"/>
        </w:rPr>
        <w:t>[Filed ARC 0033C</w:t>
      </w:r>
      <w:r>
        <w:rPr>
          <w:rFonts w:ascii="Times New Roman" w:hAnsi="Times New Roman"/>
          <w:b w:val="false"/>
          <w:i w:val="false"/>
          <w:color w:val="000000"/>
          <w:sz w:val="21"/>
        </w:rPr>
        <w:t xml:space="preserve"> (Notice ARC 9968B, IAB 1/11/12)</w:t>
      </w:r>
      <w:r>
        <w:rPr>
          <w:rFonts w:ascii="Times New Roman" w:hAnsi="Times New Roman"/>
          <w:b w:val="false"/>
          <w:i w:val="false"/>
          <w:color w:val="000000"/>
          <w:sz w:val="21"/>
        </w:rPr>
        <w:t>, IAB 3/7/12, effective 4/11/12]</w:t>
      </w:r>
    </w:p>
    <w:p>
      <w:pPr>
        <w:spacing w:before="0" w:after="0"/>
        <w:ind w:left="120"/>
        <w:jc w:val="center"/>
      </w:pPr>
      <w:r>
        <w:rPr>
          <w:rFonts w:ascii="Times New Roman" w:hAnsi="Times New Roman"/>
          <w:b w:val="false"/>
          <w:i w:val="false"/>
          <w:color w:val="000000"/>
          <w:sz w:val="21"/>
        </w:rPr>
        <w:t>[Filed ARC 4532C</w:t>
      </w:r>
      <w:r>
        <w:rPr>
          <w:rFonts w:ascii="Times New Roman" w:hAnsi="Times New Roman"/>
          <w:b w:val="false"/>
          <w:i w:val="false"/>
          <w:color w:val="000000"/>
          <w:sz w:val="21"/>
        </w:rPr>
        <w:t xml:space="preserve"> (Notice ARC 4385C, IAB 4/10/19)</w:t>
      </w:r>
      <w:r>
        <w:rPr>
          <w:rFonts w:ascii="Times New Roman" w:hAnsi="Times New Roman"/>
          <w:b w:val="false"/>
          <w:i w:val="false"/>
          <w:color w:val="000000"/>
          <w:sz w:val="21"/>
        </w:rPr>
        <w:t>, IAB 7/3/19, effective 8/7/19]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06.3.pdf" Type="http://schemas.openxmlformats.org/officeDocument/2006/relationships/hyperlink" Id="rId5"/>
    <Relationship TargetMode="External" Target="https://www.legis.iowa.gov/docs/ico/chapter/312.2.pdf" Type="http://schemas.openxmlformats.org/officeDocument/2006/relationships/hyperlink" Id="rId6"/>
    <Relationship TargetMode="External" Target="http://www.iowadot.gov" Type="http://schemas.openxmlformats.org/officeDocument/2006/relationships/hyperlink" Id="rId7"/>
    <Relationship TargetMode="External" Target="https://www.legis.iowa.gov/docs/iac/rule/761.130.1.pdf" Type="http://schemas.openxmlformats.org/officeDocument/2006/relationships/hyperlink" Id="rId8"/>
    <Relationship TargetMode="External" Target="https://www.legis.iowa.gov/docs/iac/rule/761.130.1.pdf" Type="http://schemas.openxmlformats.org/officeDocument/2006/relationships/hyperlink" Id="rId9"/>
    <Relationship TargetMode="External" Target="https://www.legis.iowa.gov/docs/ico/chapter/312.2.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