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151</w:t>
      </w:r>
    </w:p>
    <w:p>
      <w:pPr>
        <w:spacing w:before="0" w:after="0"/>
        <w:ind w:left="120"/>
        <w:jc w:val="center"/>
      </w:pPr>
      <w:r>
        <w:rPr>
          <w:rFonts w:ascii="Times New Roman" w:hAnsi="Times New Roman"/>
          <w:b w:val="false"/>
          <w:i w:val="false"/>
          <w:color w:val="000000"/>
          <w:sz w:val="21"/>
        </w:rPr>
        <w:t>CITY REQUESTS FOR CLOSURE OF</w:t>
      </w:r>
      <w:r>
        <w:br/>
      </w:r>
      <w:r>
        <w:rPr>
          <w:rFonts w:ascii="Times New Roman" w:hAnsi="Times New Roman"/>
          <w:b w:val="false"/>
          <w:i w:val="false"/>
          <w:color w:val="000000"/>
          <w:sz w:val="21"/>
        </w:rPr>
        <w:t>PRIMARY ROAD EXTENSIONS</w:t>
      </w:r>
    </w:p>
    <w:p>
      <w:pPr>
        <w:spacing w:before="0" w:after="0"/>
        <w:ind w:left="120"/>
        <w:jc w:val="center"/>
      </w:pPr>
      <w:r>
        <w:rPr>
          <w:rFonts w:ascii="Times New Roman" w:hAnsi="Times New Roman"/>
          <w:b w:val="false"/>
          <w:i w:val="false"/>
          <w:color w:val="000000"/>
          <w:sz w:val="14"/>
        </w:rPr>
        <w:t>[Prior to 4/24/85, (06,J) Ch 1]</w:t>
      </w:r>
    </w:p>
    <w:p>
      <w:pPr>
        <w:spacing w:before="0" w:after="0"/>
        <w:ind w:left="120"/>
        <w:jc w:val="center"/>
      </w:pPr>
      <w:r>
        <w:rPr>
          <w:rFonts w:ascii="Times New Roman" w:hAnsi="Times New Roman"/>
          <w:b w:val="false"/>
          <w:i w:val="false"/>
          <w:color w:val="000000"/>
          <w:sz w:val="14"/>
        </w:rPr>
        <w:t>[Prior to 6/3/87, Transportation Department[820]—(06,L)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761—151.1</w:t>
      </w:r>
      <w:r>
        <w:rPr>
          <w:rFonts w:ascii="Times New Roman" w:hAnsi="Times New Roman"/>
          <w:b/>
          <w:i w:val="false"/>
          <w:color w:val="000000"/>
          <w:sz w:val="22"/>
        </w:rPr>
        <w:t xml:space="preserve">(321) </w:t>
      </w:r>
      <w:r>
        <w:rPr>
          <w:rFonts w:ascii="Times New Roman" w:hAnsi="Times New Roman"/>
          <w:b/>
          <w:i w:val="false"/>
          <w:color w:val="000000"/>
          <w:sz w:val="22"/>
        </w:rPr>
        <w:t xml:space="preserve">Closing primary road extensions. </w:t>
      </w:r>
      <w:r>
        <w:rPr>
          <w:rFonts w:ascii="Times New Roman" w:hAnsi="Times New Roman"/>
          <w:b w:val="false"/>
          <w:i w:val="false"/>
          <w:color w:val="000000"/>
          <w:sz w:val="22"/>
        </w:rPr>
        <w:t xml:space="preserve">The purpose of this rule is to establish requirements and procedures for the closing of primary road extensions for reasons other than fire, construction or repair in accordance with Iowa Code section </w:t>
      </w:r>
      <w:hyperlink r:id="rId5">
        <w:r>
          <w:rPr>
            <w:rStyle w:val="Hyperlink"/>
            <w:rFonts w:ascii="Times New Roman" w:hAnsi="Times New Roman"/>
            <w:b w:val="false"/>
            <w:i w:val="false"/>
            <w:color w:val="000000"/>
            <w:sz w:val="22"/>
          </w:rPr>
          <w:t>321.348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shall have these meanings unless the context indicates a different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detour” </w:t>
      </w:r>
      <w:r>
        <w:rPr>
          <w:rFonts w:ascii="Times New Roman" w:hAnsi="Times New Roman"/>
          <w:b w:val="false"/>
          <w:i w:val="false"/>
          <w:color w:val="000000"/>
          <w:sz w:val="22"/>
        </w:rPr>
        <w:t>shall mean an alternate route which, based on the engineering judgment of the district engineer, has the operational capability to handle the increased traffic for the specified period of the detour.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enforcement officers” </w:t>
      </w:r>
      <w:r>
        <w:rPr>
          <w:rFonts w:ascii="Times New Roman" w:hAnsi="Times New Roman"/>
          <w:b w:val="false"/>
          <w:i w:val="false"/>
          <w:color w:val="000000"/>
          <w:sz w:val="22"/>
        </w:rPr>
        <w:t>shall mean city police, town marshals, or other entities legally granted police power for control of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road extensions” </w:t>
      </w:r>
      <w:r>
        <w:rPr>
          <w:rFonts w:ascii="Times New Roman" w:hAnsi="Times New Roman"/>
          <w:b w:val="false"/>
          <w:i w:val="false"/>
          <w:color w:val="000000"/>
          <w:sz w:val="22"/>
        </w:rPr>
        <w:t>shall mean the extension of any primary road into or through the corporate limits of a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stub” </w:t>
      </w:r>
      <w:r>
        <w:rPr>
          <w:rFonts w:ascii="Times New Roman" w:hAnsi="Times New Roman"/>
          <w:b w:val="false"/>
          <w:i w:val="false"/>
          <w:color w:val="000000"/>
          <w:sz w:val="22"/>
        </w:rPr>
        <w:t>shall mean the extension of any primary road that crosses the corporate limits and terminates at the central business district of a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detour over paved roads shall be provided with traffic controls as prescribed in the “Manual on Uniform Traffic Control Devices,” as adopted in </w:t>
      </w:r>
      <w:hyperlink r:id="rId6">
        <w:r>
          <w:rPr>
            <w:rStyle w:val="Hyperlink"/>
            <w:rFonts w:ascii="Times New Roman" w:hAnsi="Times New Roman"/>
            <w:b w:val="false"/>
            <w:i w:val="false"/>
            <w:color w:val="000000"/>
            <w:sz w:val="22"/>
          </w:rPr>
          <w:t>rule 761—130.1(321)</w:t>
        </w:r>
      </w:hyperlink>
      <w:r>
        <w:rPr>
          <w:rFonts w:ascii="Times New Roman" w:hAnsi="Times New Roman"/>
          <w:b w:val="false"/>
          <w:i w:val="false"/>
          <w:color w:val="000000"/>
          <w:sz w:val="22"/>
        </w:rPr>
        <w:t>. City officials shall secure the written approval of the county board of supervisors to use any county road as a detour.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maintenance and restoration of the detour, and shall accept responsibility for any damages that may occur to the closed section of the primary extension. The city shall accept full liability for conditions and operations of the detour.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closed streets shall be used only for a civic purpose; no closing for promotion of commercial activities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benefit to the community must outweigh the temporary inconvenience to motorists.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city shall request the Iowa state patrol to review the proposed detour for safety. During use, traffic shall be policed by local enforcement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color w:val="000000"/>
          <w:sz w:val="22"/>
        </w:rPr>
        <w:t xml:space="preserve">Arterial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4/3/02</w:t>
      </w:r>
      <w:r>
        <w:rPr>
          <w:rFonts w:ascii="Times New Roman" w:hAnsi="Times New Roman"/>
          <w:b w:val="false"/>
          <w:i w:val="false"/>
          <w:color w:val="000000"/>
          <w:sz w:val="22"/>
        </w:rPr>
        <w:t>, effective 5/8/02.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151.1(4)</w:t>
      </w:r>
      <w:r>
        <w:rPr>
          <w:rFonts w:ascii="Times New Roman" w:hAnsi="Times New Roman"/>
          <w:b w:val="false"/>
          <w:i w:val="false"/>
          <w:color w:val="000000"/>
          <w:sz w:val="22"/>
        </w:rPr>
        <w:t> </w:t>
      </w:r>
      <w:r>
        <w:rPr>
          <w:rFonts w:ascii="Times New Roman" w:hAnsi="Times New Roman"/>
          <w:b w:val="false"/>
          <w:i/>
          <w:color w:val="000000"/>
          <w:sz w:val="22"/>
        </w:rPr>
        <w:t xml:space="preserve">Arterial connector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4/3/02</w:t>
      </w:r>
      <w:r>
        <w:rPr>
          <w:rFonts w:ascii="Times New Roman" w:hAnsi="Times New Roman"/>
          <w:b w:val="false"/>
          <w:i w:val="false"/>
          <w:color w:val="000000"/>
          <w:sz w:val="22"/>
        </w:rPr>
        <w:t>, effective 5/8/02.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151.1(5)</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Procedures for closing primary road extensions shall be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Cities shall file a “Request for Closing Primary Road Extension,” Form 810030, available from district offices. The request shall include the name of the city, period that the covered route is to be closed, the precise section involved, the proposed detour and the purpose for the closure. If the proposed detour involves any part of a county road, the written approval of the county board of supervisors must be submitted with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shall be signed by the city officials, be reviewed by the Iowa state patrol, and submitted to the district engineer 45 days prior to the first day of closure. The department shall respond to the city in 20 days from the date the request is received. If all requirements in this rule are met, the department may approve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erect any necessary signs on the detour.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151.1(6)</w:t>
      </w:r>
      <w:r>
        <w:rPr>
          <w:rFonts w:ascii="Times New Roman" w:hAnsi="Times New Roman"/>
          <w:b w:val="false"/>
          <w:i w:val="false"/>
          <w:color w:val="000000"/>
          <w:sz w:val="22"/>
        </w:rPr>
        <w:t> </w:t>
      </w:r>
      <w:r>
        <w:rPr>
          <w:rFonts w:ascii="Times New Roman" w:hAnsi="Times New Roman"/>
          <w:b w:val="false"/>
          <w:i/>
          <w:color w:val="000000"/>
          <w:sz w:val="22"/>
        </w:rPr>
        <w:t xml:space="preserve">Primary stub routes. </w:t>
      </w:r>
      <w:r>
        <w:rPr>
          <w:rFonts w:ascii="Times New Roman" w:hAnsi="Times New Roman"/>
          <w:b w:val="false"/>
          <w:i w:val="false"/>
          <w:color w:val="000000"/>
          <w:sz w:val="22"/>
        </w:rPr>
        <w:t xml:space="preserve">The city may close a section of a primary stub route for a municipal celebration without obtaining department approval if substitute traffic arrangements are provided. The requirements set out in </w:t>
      </w:r>
      <w:hyperlink r:id="rId7">
        <w:r>
          <w:rPr>
            <w:rStyle w:val="Hyperlink"/>
            <w:rFonts w:ascii="Times New Roman" w:hAnsi="Times New Roman"/>
            <w:b w:val="false"/>
            <w:i w:val="false"/>
            <w:color w:val="000000"/>
            <w:sz w:val="22"/>
          </w:rPr>
          <w:t>subrules 151.1(2)</w:t>
        </w:r>
      </w:hyperlink>
      <w:r>
        <w:rPr>
          <w:rFonts w:ascii="Times New Roman" w:hAnsi="Times New Roman"/>
          <w:b w:val="false"/>
          <w:i w:val="false"/>
          <w:color w:val="000000"/>
          <w:sz w:val="22"/>
        </w:rPr>
        <w:t xml:space="preserve"> to </w:t>
      </w:r>
      <w:hyperlink r:id="rId8">
        <w:r>
          <w:rPr>
            <w:rStyle w:val="Hyperlink"/>
            <w:rFonts w:ascii="Times New Roman" w:hAnsi="Times New Roman"/>
            <w:b w:val="false"/>
            <w:i w:val="false"/>
            <w:color w:val="000000"/>
            <w:sz w:val="22"/>
          </w:rPr>
          <w:t>151.1(5)</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321.348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8/11/21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7/22/77, Notice 5/4/77—published 8/10/77, effective 9/14/77]</w:t>
      </w:r>
    </w:p>
    <w:p>
      <w:pPr>
        <w:spacing w:before="0" w:after="0"/>
        <w:ind w:left="120"/>
        <w:jc w:val="center"/>
      </w:pPr>
      <w:r>
        <w:rPr>
          <w:rFonts w:ascii="Times New Roman" w:hAnsi="Times New Roman"/>
          <w:b w:val="false"/>
          <w:i w:val="false"/>
          <w:color w:val="000000"/>
          <w:sz w:val="21"/>
        </w:rPr>
        <w:t>[Filed 4/4/85, Notice 2/13/85—published 4/24/85, effective 5/29/85]</w:t>
      </w:r>
    </w:p>
    <w:p>
      <w:pPr>
        <w:spacing w:before="0" w:after="0"/>
        <w:ind w:left="120"/>
        <w:jc w:val="center"/>
      </w:pPr>
      <w:r>
        <w:rPr>
          <w:rFonts w:ascii="Times New Roman" w:hAnsi="Times New Roman"/>
          <w:b w:val="false"/>
          <w:i w:val="false"/>
          <w:color w:val="000000"/>
          <w:sz w:val="21"/>
        </w:rPr>
        <w:t>[Filed 8/28/86, Notice 7/16/86—published 9/24/86, effective 10/29/86]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[Editorial change: IAC Supplement 8/11/21]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348.pdf" Type="http://schemas.openxmlformats.org/officeDocument/2006/relationships/hyperlink" Id="rId5"/>
    <Relationship TargetMode="External" Target="https://www.legis.iowa.gov/docs/iac/rule/761.130.1.pdf" Type="http://schemas.openxmlformats.org/officeDocument/2006/relationships/hyperlink" Id="rId6"/>
    <Relationship TargetMode="External" Target="https://www.legis.iowa.gov/docs/iac/rule/761.151.1.pdf" Type="http://schemas.openxmlformats.org/officeDocument/2006/relationships/hyperlink" Id="rId7"/>
    <Relationship TargetMode="External" Target="https://www.legis.iowa.gov/docs/iac/rule/761.151.1.pdf" Type="http://schemas.openxmlformats.org/officeDocument/2006/relationships/hyperlink" Id="rId8"/>
    <Relationship TargetMode="External" Target="https://www.legis.iowa.gov/docs/ico/chapter/321.34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