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PRIMARY ROAD EXTENSIONS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150</w:t>
      </w:r>
    </w:p>
    <w:p>
      <w:pPr>
        <w:spacing w:before="0" w:after="0"/>
        <w:ind w:left="120"/>
        <w:jc w:val="center"/>
      </w:pPr>
      <w:r>
        <w:rPr>
          <w:rFonts w:ascii="Times New Roman" w:hAnsi="Times New Roman"/>
          <w:b w:val="false"/>
          <w:i w:val="false"/>
          <w:color w:val="000000"/>
          <w:sz w:val="21"/>
        </w:rPr>
        <w:t>IMPROVEMENTS AND MAINTENANCE ON PRIMARY ROAD EXTENSIONS</w:t>
      </w:r>
    </w:p>
    <w:p>
      <w:pPr>
        <w:spacing w:before="0" w:after="0"/>
        <w:ind w:left="120"/>
        <w:jc w:val="center"/>
      </w:pPr>
      <w:r>
        <w:rPr>
          <w:rFonts w:ascii="Times New Roman" w:hAnsi="Times New Roman"/>
          <w:b w:val="false"/>
          <w:i w:val="false"/>
          <w:color w:val="000000"/>
          <w:sz w:val="14"/>
        </w:rPr>
        <w:t>[Prior to 6/3/87, Transportation Department[820]—(06,L)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761—150.1</w:t>
      </w:r>
      <w:r>
        <w:rPr>
          <w:rFonts w:ascii="Times New Roman" w:hAnsi="Times New Roman"/>
          <w:b/>
          <w:i w:val="false"/>
          <w:color w:val="000000"/>
          <w:sz w:val="22"/>
        </w:rPr>
        <w:t xml:space="preserve">(306)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control limits” </w:t>
      </w:r>
      <w:r>
        <w:rPr>
          <w:rFonts w:ascii="Times New Roman" w:hAnsi="Times New Roman"/>
          <w:b w:val="false"/>
          <w:i w:val="false"/>
          <w:color w:val="000000"/>
          <w:sz w:val="22"/>
        </w:rPr>
        <w:t xml:space="preserve">means the area within the primary highway right-of-way limits, including right-of-way lines extended across side streets and roads. The term includes areas on side streets and roads where the department has acquired access control rights in accordance with </w:t>
      </w:r>
      <w:hyperlink r:id="rId5">
        <w:r>
          <w:rPr>
            <w:rStyle w:val="Hyperlink"/>
            <w:rFonts w:ascii="Times New Roman" w:hAnsi="Times New Roman"/>
            <w:b w:val="false"/>
            <w:i w:val="false"/>
            <w:color w:val="000000"/>
            <w:sz w:val="22"/>
          </w:rPr>
          <w:t>761—Chapter 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“City” </w:t>
      </w:r>
      <w:r>
        <w:rPr>
          <w:rFonts w:ascii="Times New Roman" w:hAnsi="Times New Roman"/>
          <w:b w:val="false"/>
          <w:i w:val="false"/>
          <w:color w:val="000000"/>
          <w:sz w:val="22"/>
        </w:rPr>
        <w:t xml:space="preserve">means a municipal corporation as defined in Iowa Code section </w:t>
      </w:r>
      <w:hyperlink r:id="rId6">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“Encroachment” </w:t>
      </w:r>
      <w:r>
        <w:rPr>
          <w:rFonts w:ascii="Times New Roman" w:hAnsi="Times New Roman"/>
          <w:b w:val="false"/>
          <w:i w:val="false"/>
          <w:color w:val="000000"/>
          <w:sz w:val="22"/>
        </w:rPr>
        <w:t>means an item which is supported or located on the highway right-of-way or which overhangs into the airspace of the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“Freeway” </w:t>
      </w:r>
      <w:r>
        <w:rPr>
          <w:rFonts w:ascii="Times New Roman" w:hAnsi="Times New Roman"/>
          <w:b w:val="false"/>
          <w:i w:val="false"/>
          <w:color w:val="000000"/>
          <w:sz w:val="22"/>
        </w:rPr>
        <w:t>means a fully controlled access primary highway. The rights of ingress and egress from abutting properties have been legally eliminated by the department. Permanent access to the freeway is allowed only at interchange locations. For the purpose of highway lighting, a freeway is generally five or more miles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“MUTCD” </w:t>
      </w:r>
      <w:r>
        <w:rPr>
          <w:rFonts w:ascii="Times New Roman" w:hAnsi="Times New Roman"/>
          <w:b w:val="false"/>
          <w:i w:val="false"/>
          <w:color w:val="000000"/>
          <w:sz w:val="22"/>
        </w:rPr>
        <w:t xml:space="preserve">means the “Manual on Uniform Traffic Control Devices,” as adopted in </w:t>
      </w:r>
      <w:hyperlink r:id="rId7">
        <w:r>
          <w:rPr>
            <w:rStyle w:val="Hyperlink"/>
            <w:rFonts w:ascii="Times New Roman" w:hAnsi="Times New Roman"/>
            <w:b w:val="false"/>
            <w:i w:val="false"/>
            <w:color w:val="000000"/>
            <w:sz w:val="22"/>
          </w:rPr>
          <w:t>761—Chapter 130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“Nonfreeway primary highway” </w:t>
      </w:r>
      <w:r>
        <w:rPr>
          <w:rFonts w:ascii="Times New Roman" w:hAnsi="Times New Roman"/>
          <w:b w:val="false"/>
          <w:i w:val="false"/>
          <w:color w:val="000000"/>
          <w:sz w:val="22"/>
        </w:rPr>
        <w:t>means a primary highway that is not a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“Obstruction”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“Right-of-way” </w:t>
      </w:r>
      <w:r>
        <w:rPr>
          <w:rFonts w:ascii="Times New Roman" w:hAnsi="Times New Roman"/>
          <w:b w:val="false"/>
          <w:i w:val="false"/>
          <w:color w:val="000000"/>
          <w:sz w:val="22"/>
        </w:rPr>
        <w:t>means the land for any public road, street or highway, including the entire area between the property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“Urban-state traffic engineering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“U-STEP” </w:t>
      </w:r>
      <w:r>
        <w:rPr>
          <w:rFonts w:ascii="Times New Roman" w:hAnsi="Times New Roman"/>
          <w:b w:val="false"/>
          <w:i w:val="false"/>
          <w:color w:val="000000"/>
          <w:sz w:val="22"/>
        </w:rPr>
        <w:t>refers to a department program that is intended for use by any Iowa city in order to solve traffic operations and safety problems on primary roads in Iowa cities as documented in the department’s “Guide to Transportation Funding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306A.13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306.2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306A.13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318.1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3501C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6562C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761—150.2</w:t>
      </w:r>
      <w:r>
        <w:rPr>
          <w:rFonts w:ascii="Times New Roman" w:hAnsi="Times New Roman"/>
          <w:b/>
          <w:i w:val="false"/>
          <w:color w:val="000000"/>
          <w:sz w:val="22"/>
        </w:rPr>
        <w:t xml:space="preserve">(306) </w:t>
      </w:r>
      <w:r>
        <w:rPr>
          <w:rFonts w:ascii="Times New Roman" w:hAnsi="Times New Roman"/>
          <w:b/>
          <w:i w:val="false"/>
          <w:color w:val="000000"/>
          <w:sz w:val="22"/>
        </w:rPr>
        <w:t xml:space="preserve">Improvements and maintenance on extensions of 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150.2(1)</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Except as otherwise provided, the department shall be responsible for all right-of-way and construction costs associated with the construction of freeway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city shall be responsible for providing, without cost to the department, all necessary rights-of-way that involve dedicated streets or alleys.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may be responsible for providing, without cost to the department, all necessary rights-of-way that involve other city-owned lands, except parklands, subject to the condition that the department may reimburse the city for the functional replacement value of improved property and advanced purchases negotiated by the city for project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Outside the access control limits, the department shall be responsible for the costs of construction of longitudinal and outlet storm sewers made necessary by highway construction in the proportion that the street right-of-way of the primary road extension bears to the total drainage area to be served by the proposed sewers. The city shall be responsible for the remaining portion of storm-sewer costs not paid for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all storm sewer-related costs within the access control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150.2(2)</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The department shall enter into an agreement with a city regarding the maintenance of primary roads within the corporate city limits. This is intended to include corporate line roads, when appropriate. Unless otherwise mutually agreed to and specified in the agreement, the maintenance of freeway extensions within the corporate city limits, including corporate line roads,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all maintenance costs on the through roadway, the on and off ramps, and the roadside features from right-of-way line to right-of-way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city streets cross the freeway, the department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Roadside maintenance within the limits of the freeway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Surface drainage of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Traffic signs and pavement markings required for freeway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Guardrail at piers and bridge approaches.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Expansion relief joints in approach pavement and leveling of bridge approach panel(s).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maintenance of bridges including deck repair, structural repair, berm slope protection, painting, and inspection, except as noted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city streets cross the freeway, the city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roadside maintenance outside the freeway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pavement, subgrade and shoulder maintenance on the cross street except expansion relief joints and bridge approach panel leveling.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traffic lane markings on the cross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Snow removal on the cross street including bridges over the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Cleaning and sweeping bridge decks on streets crossing over the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city shall be responsible for maintenance and repair of pedestrian overpasses and underpasses including snow removal, painting, lighting and structural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Should local service roads or streets be constructed as a part of a project, upon completion they shall become a part of the city street system. The department shall not be responsible for the maintenance of these roads or streets and corresponding drainage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the cost of installation of lighting on the main-traveled-way lanes and the on and off ramps including the terminals with cross streets when the department determines that lighting is required under established warrants.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the energy and maintenance costs of lighting on the main-traveled-way lanes.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the energy and maintenance costs of lighting through interchange areas and ramps at interchanges between freeways which do not provide service to local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the energy and maintenance costs of lighting in interchange areas at interchanges between freeways and primary roads which are on corporate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interchanges with city cross streets, the department shall be responsible for the energy and maintenance costs of lighting on the main-traveled-way lanes, on and off ramps, ramp terminals, and, when the department determines full interchange lighting is required, the cross street between the outermost ramp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the installation, energy, and maintenance costs of any lighting on cross streets in advance of interchanges and between the outermost ramp terminals at interchanges where the department determines partial interchange lighting or no lighting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the installation, energy and maintenance costs of any lighting on pedestrian overpasses, pedestrian underpasses, bicycle overpasses or bicycle underpasses. The city may elect to provide lighting at its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Warrants for the lighting of freeways shall be according to the 2005 “AASHTO Roadway Lighting Design Guide.”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150.2(4)</w:t>
      </w:r>
      <w:r>
        <w:rPr>
          <w:rFonts w:ascii="Times New Roman" w:hAnsi="Times New Roman"/>
          <w:b w:val="false"/>
          <w:i w:val="false"/>
          <w:color w:val="000000"/>
          <w:sz w:val="22"/>
        </w:rPr>
        <w:t> </w:t>
      </w:r>
      <w:r>
        <w:rPr>
          <w:rFonts w:ascii="Times New Roman" w:hAnsi="Times New Roman"/>
          <w:b w:val="false"/>
          <w:i/>
          <w:color w:val="000000"/>
          <w:sz w:val="22"/>
        </w:rPr>
        <w:t xml:space="preserve">Traffic signals at ramp terminals with cross streets.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traffic signal installations shall meet the standards and warrants established in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projects initiated by the department, the department may install, at no cost to the city, traffic signals warranted when replacing existing pavement or adding new lanes. In conjunction with these projects, the department may also participate in the cost of signals that are for pedestrian use only. If the department participates, the department’s share of the installation costs shall be based on the current U-STEP cost apportionment.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new pavement construction or additional lanes are not involved, the department may participate in the installation costs of new and modernized traffic signals or signals that are for pedestrian use only. If the department participates, the department’s share of the installation costs shall be based on the current U-STEP cost apportionment; the city shall prepare plans, award the contract, supervise the installation, and be responsible for the remaining installation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Modifications made to the traffic signal system to coordinate it with other city signal systems (not on the primary road extension system) shall be the sole financial responsibility of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assume ownership and shall not be responsible for the energy and maintenance costs involved in the operation of traffic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Signal phasing, initial and future, as well as timing and coordination between intersections shall be coordinated between the department and the city.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306.4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306.42</w:t>
        </w:r>
      </w:hyperlink>
      <w:r>
        <w:rPr>
          <w:rFonts w:ascii="Times New Roman" w:hAnsi="Times New Roman"/>
          <w:b w:val="false"/>
          <w:i w:val="false"/>
          <w:color w:val="000000"/>
          <w:sz w:val="22"/>
        </w:rPr>
        <w:t>, </w:t>
      </w:r>
      <w:hyperlink r:id="rId17">
        <w:r>
          <w:rPr>
            <w:rStyle w:val="Hyperlink"/>
            <w:rFonts w:ascii="Times New Roman" w:hAnsi="Times New Roman"/>
            <w:b w:val="false"/>
            <w:i w:val="false"/>
            <w:color w:val="000000"/>
            <w:sz w:val="22"/>
          </w:rPr>
          <w:t>313.4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313.5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313.21 to 313.24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313.27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313.36</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314.5 and 314.6</w:t>
        </w:r>
      </w:hyperlink>
      <w:r>
        <w:rPr>
          <w:rFonts w:ascii="Times New Roman" w:hAnsi="Times New Roman"/>
          <w:b w:val="false"/>
          <w:i w:val="false"/>
          <w:color w:val="000000"/>
          <w:sz w:val="22"/>
        </w:rPr>
        <w:t xml:space="preserve"> and chapter </w:t>
      </w:r>
      <w:hyperlink r:id="rId23">
        <w:r>
          <w:rPr>
            <w:rStyle w:val="Hyperlink"/>
            <w:rFonts w:ascii="Times New Roman" w:hAnsi="Times New Roman"/>
            <w:b w:val="false"/>
            <w:i w:val="false"/>
            <w:color w:val="000000"/>
            <w:sz w:val="22"/>
          </w:rPr>
          <w:t>306A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3501C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5427C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761—150.3</w:t>
      </w:r>
      <w:r>
        <w:rPr>
          <w:rFonts w:ascii="Times New Roman" w:hAnsi="Times New Roman"/>
          <w:b/>
          <w:i w:val="false"/>
          <w:color w:val="000000"/>
          <w:sz w:val="22"/>
        </w:rPr>
        <w:t xml:space="preserve">(306) </w:t>
      </w:r>
      <w:r>
        <w:rPr>
          <w:rFonts w:ascii="Times New Roman" w:hAnsi="Times New Roman"/>
          <w:b/>
          <w:i w:val="false"/>
          <w:color w:val="000000"/>
          <w:sz w:val="22"/>
        </w:rPr>
        <w:t xml:space="preserve">Improvements and maintenance on extensions of nonfreeway primary highways.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150.3(1)</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all right-of-way and construction costs to construct nonfreeway primary highway extensions to the minimum design criteria as established by the department. Construction improvement costs beyond minimum design criteria shall be the responsibility of the city, as specified in the project agreement. Minimum design criteria shall be in accordance with “A Policy on Geometric Design of Highways and Streets, 2018” (Seventh Edition AASHTO Green 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shall be responsible for providing, without cost to the department, all necessary rights-of-way that involve dedicated streets or alleys.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city may be responsible for providing, without cost to the department, all necessary rights-of-way that involve other city-owned lands, except parklands, subject to the condition that the department may reimburse the city for the functional replacement value of improved property and advanced purchases negotiated by the city for project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city shall take all necessary legal action to discontinue and prohibit any past or present use of project rights-of-way for private purposes. The city shall prevent any future encroachment or obstruction within the limits of project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the costs of construction of longitudinal and outlet storm sewers made necessary by highway construction and construction of local service roads developed as a part of the construction or reconstruction of the through traffic lanes in the proportion that the right-of-way of the primary road extension bears to the total drainage area to be served by the proposed sewers. The city shall be responsible for the remaining portion of storm-sewer costs not paid for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Unless otherwise mutually agreed to and specified in the project agreement, the department shall be responsible for the cost of acquiring rights-of-way and construction of local service roads developed as a part of the construction or reconstruction of the through traffic lanes.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150.3(2)</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The department shall enter into an agreement with a city regarding the maintenance of primary roads within the corporate city limits. This is intended to include corporate line roads, when appropriate. Unless otherwise mutually agreed to and specified in the agreement, the maintenance of nonfreeway primary highway extensions within the corporate city limits, including corporate line roads,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primary roads constructed with a curbed cross section, the department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and repairs to pavement and subgrade from face of curb to face of curb exclusive of parking lanes, culverts, intakes, manholes, public or private utilities, sanitary sewers and storm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Primary road signing for moving traffic as set out in subrule </w:t>
      </w:r>
      <w:hyperlink r:id="rId24">
        <w:r>
          <w:rPr>
            <w:rStyle w:val="Hyperlink"/>
            <w:rFonts w:ascii="Times New Roman" w:hAnsi="Times New Roman"/>
            <w:b w:val="false"/>
            <w:i w:val="false"/>
            <w:color w:val="000000"/>
            <w:sz w:val="22"/>
          </w:rPr>
          <w:t>150.4(1)</w:t>
        </w:r>
      </w:hyperlink>
      <w:r>
        <w:rPr>
          <w:rFonts w:ascii="Times New Roman" w:hAnsi="Times New Roman"/>
          <w:b w:val="false"/>
          <w:i w:val="false"/>
          <w:color w:val="000000"/>
          <w:sz w:val="22"/>
        </w:rPr>
        <w:t>, pavement markings for traffic lanes, guardrail and stop signs at intersecting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Surface drainage only, within the limits of pavement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Plowing of snow from the traffic lanes of pavement and bridges and treatment of traffic lanes with abrasives and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painting and structural maintenance of bridges as defined in Iowa Code section </w:t>
      </w:r>
      <w:hyperlink r:id="rId25">
        <w:r>
          <w:rPr>
            <w:rStyle w:val="Hyperlink"/>
            <w:rFonts w:ascii="Times New Roman" w:hAnsi="Times New Roman"/>
            <w:b w:val="false"/>
            <w:i w:val="false"/>
            <w:color w:val="000000"/>
            <w:sz w:val="22"/>
          </w:rPr>
          <w:t>309.1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primary roads constructed with a rural cross section (no curb), the department shall be responsible for all maintenance, except tree removal, sidewalks, retaining walls and repairs due to utility construction and maintenance shall be the city’s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primary roads constructed with a curbed cross section, the city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and repairs to pavement in parking lanes, intersections beyond the limits of department pavement maintenance, curbs used to contain drainage, and repairs to all pavement due to utility construction, maintenance and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Painting of parking stalls, stop lines and crosswalks, and the installation and maintenance of flashing lights. Pavement markings shall conform to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Maintenance of all storm sewers, manholes, intakes, catch basins and culverts used for collection and disposal of surface drainage.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Removal of snow windrowed by departmental plowing operations, removal of snow and ice from all areas outside the traffic lanes, loading or hauling of snow which the city considers necessary and removal of snow and ice from sidewalks on bridges used for pedestrian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Maintenance of sidewalks, retaining walls and all areas between curb and right-of-way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Cleaning, sweeping and washing of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Maintenance and repair of pedestrian overpasses and underpasses including snow removal, painting and structural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Maintenance and repair of bicycle overpasses and underpasses including snow removal, painting and structural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comply with the access control policy of the department as adopted in </w:t>
      </w:r>
      <w:hyperlink r:id="rId26">
        <w:r>
          <w:rPr>
            <w:rStyle w:val="Hyperlink"/>
            <w:rFonts w:ascii="Times New Roman" w:hAnsi="Times New Roman"/>
            <w:b w:val="false"/>
            <w:i w:val="false"/>
            <w:color w:val="000000"/>
            <w:sz w:val="22"/>
          </w:rPr>
          <w:t>761—Chapter 112</w:t>
        </w:r>
      </w:hyperlink>
      <w:r>
        <w:rPr>
          <w:rFonts w:ascii="Times New Roman" w:hAnsi="Times New Roman"/>
          <w:b w:val="false"/>
          <w:i w:val="false"/>
          <w:color w:val="000000"/>
          <w:sz w:val="22"/>
        </w:rPr>
        <w:t xml:space="preserve"> and obtain prior approval from the department for any changes to existing entrances or for the construction of new entrances.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Drainage district assessments levied against the primary road within the corporate limits of the city shall be shared equally by the department and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Should local service roads or streets be constructed as a part of a project, upon completion they shall become a part of the city street system. The department shall not be responsible for the maintenance of these roads or streets and corresponding drainage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the installation, energy, and maintenance costs of lighting on extensions of nonfreeway primary highways. The city may elect to provide lighting at its own expense. However: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cities with a population of 5,000 or less, the department may elect to install interchange lighting and to be responsible for or to participate in the energy and maintenance costs of this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 new construction project that results in a predominately fully controlled access highway, but incorporates some nonfreeway segments, the department may elect to participate in the installation of lighting at conflict points if the city agrees to be responsible for the energy and maintenance costs of this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corporate line primary road junctions, the lighting shall be installed where necessary by the department in accordance with department warrants. The department shall be responsible for the installation costs. Unless otherwise agreed, the energy and maintenance costs shall be shared by the city and department in proportion to the number of luminaires in each jurisdiction as established by the corporate line. When and if the corporate line is extended to include any part of the lighting installation or a greater proportion of luminaires, the proportionate costs for maintenance and energy shall be redetermined on the basis of the number of luminaires in each jurisdiction as established by the new location of the corporate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150.3(4)</w:t>
      </w:r>
      <w:r>
        <w:rPr>
          <w:rFonts w:ascii="Times New Roman" w:hAnsi="Times New Roman"/>
          <w:b w:val="false"/>
          <w:i w:val="false"/>
          <w:color w:val="000000"/>
          <w:sz w:val="22"/>
        </w:rPr>
        <w:t> </w:t>
      </w:r>
      <w:r>
        <w:rPr>
          <w:rFonts w:ascii="Times New Roman" w:hAnsi="Times New Roman"/>
          <w:b w:val="false"/>
          <w:i/>
          <w:color w:val="000000"/>
          <w:sz w:val="22"/>
        </w:rPr>
        <w:t xml:space="preserve">Traffic signals.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traffic signal installations shall meet the standards and warrants established in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projects initiated by the department, the department may install, at no cost to the city, traffic signals warranted when replacing existing pavement or adding new lanes. In conjunction with these projects, the department may also participate in the cost of signals that are for pedestrian use only. If the department participates, the department’s share of the installation costs shall be based on the current U-STEP cost apportionment.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new pavement construction or additional lanes are not involved, the department may participate in the installation costs of new and modernized traffic signals or signals that are for pedestrian use only. If the department participates, the department’s share of the installation costs shall be based on the current U-STEP cost apportionment; the city shall prepare plans, award the contract, supervise the installation, and be responsible for the remaining installation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Modifications made to the traffic signal system to coordinate it with other city signal systems (not on the primary road extension system) shall be the sole financial responsibility of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participate in the cost of signals for commercial use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participate in the signalization of primary road stub routes which terminate within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assume ownership and shall not be responsible for any energy or maintenance costs for traffic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Signal phasing, initial and future, as well as timing and coordination between intersections shall be coordinated between the department and the 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150.3(5)</w:t>
      </w:r>
      <w:r>
        <w:rPr>
          <w:rFonts w:ascii="Times New Roman" w:hAnsi="Times New Roman"/>
          <w:b w:val="false"/>
          <w:i w:val="false"/>
          <w:color w:val="000000"/>
          <w:sz w:val="22"/>
        </w:rPr>
        <w:t> </w:t>
      </w:r>
      <w:r>
        <w:rPr>
          <w:rFonts w:ascii="Times New Roman" w:hAnsi="Times New Roman"/>
          <w:b w:val="false"/>
          <w:i/>
          <w:color w:val="000000"/>
          <w:sz w:val="22"/>
        </w:rPr>
        <w:t xml:space="preserve">Overdimensional and overweight vehicles. </w:t>
      </w:r>
      <w:r>
        <w:rPr>
          <w:rFonts w:ascii="Times New Roman" w:hAnsi="Times New Roman"/>
          <w:b w:val="false"/>
          <w:i w:val="false"/>
          <w:color w:val="000000"/>
          <w:sz w:val="22"/>
        </w:rPr>
        <w:t>The city shall comply with all current statutes, rules and regulations pertaining to overdimensional and overweight vehicles using primary roads when issuing special permits for overdimensional and overweight vehicles.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306.4</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306.42</w:t>
        </w:r>
      </w:hyperlink>
      <w:r>
        <w:rPr>
          <w:rFonts w:ascii="Times New Roman" w:hAnsi="Times New Roman"/>
          <w:b w:val="false"/>
          <w:i w:val="false"/>
          <w:color w:val="000000"/>
          <w:sz w:val="22"/>
        </w:rPr>
        <w:t>, </w:t>
      </w:r>
      <w:hyperlink r:id="rId29">
        <w:r>
          <w:rPr>
            <w:rStyle w:val="Hyperlink"/>
            <w:rFonts w:ascii="Times New Roman" w:hAnsi="Times New Roman"/>
            <w:b w:val="false"/>
            <w:i w:val="false"/>
            <w:color w:val="000000"/>
            <w:sz w:val="22"/>
          </w:rPr>
          <w:t>313.5</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313.21 to 313.24</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313.27</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313.36</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314.5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314.6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and chapter </w:t>
      </w:r>
      <w:hyperlink r:id="rId36">
        <w:r>
          <w:rPr>
            <w:rStyle w:val="Hyperlink"/>
            <w:rFonts w:ascii="Times New Roman" w:hAnsi="Times New Roman"/>
            <w:b w:val="false"/>
            <w:i w:val="false"/>
            <w:color w:val="000000"/>
            <w:sz w:val="22"/>
          </w:rPr>
          <w:t>306A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3501C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5427C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761—150.4</w:t>
      </w:r>
      <w:r>
        <w:rPr>
          <w:rFonts w:ascii="Times New Roman" w:hAnsi="Times New Roman"/>
          <w:b/>
          <w:i w:val="false"/>
          <w:color w:val="000000"/>
          <w:sz w:val="22"/>
        </w:rPr>
        <w:t xml:space="preserve">(306) </w:t>
      </w:r>
      <w:r>
        <w:rPr>
          <w:rFonts w:ascii="Times New Roman" w:hAnsi="Times New Roman"/>
          <w:b/>
          <w:i w:val="false"/>
          <w:color w:val="000000"/>
          <w:sz w:val="22"/>
        </w:rPr>
        <w:t xml:space="preserve">General requirements for primary road extensions.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w:t>
      </w:r>
      <w:r>
        <w:rPr>
          <w:rFonts w:ascii="Times New Roman" w:hAnsi="Times New Roman"/>
          <w:b w:val="false"/>
          <w:i w:val="false"/>
          <w:color w:val="000000"/>
          <w:sz w:val="22"/>
        </w:rPr>
        <w:t> </w:t>
      </w:r>
      <w:r>
        <w:rPr>
          <w:rFonts w:ascii="Times New Roman" w:hAnsi="Times New Roman"/>
          <w:b w:val="false"/>
          <w:i/>
          <w:color w:val="000000"/>
          <w:sz w:val="22"/>
        </w:rPr>
        <w:t xml:space="preserve">Signing.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permanent traffic control signing on primary road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construction and maintenance work zone signing unless the work is being done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street name signs, any regulatory parking signs which denote special regulations as may be determined by the city in cooperation with the department, and those signs which regulate parking as to time, hours and days of the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signs facing traffic on primary road extensions which regulate traffic movements on city cross streets (one-way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“Business District” signs on primary road extensions may be permitted upon application by the city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signing within the right-of-way shall conform to the MUTCD.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150.4(2)</w:t>
      </w:r>
      <w:r>
        <w:rPr>
          <w:rFonts w:ascii="Times New Roman" w:hAnsi="Times New Roman"/>
          <w:b w:val="false"/>
          <w:i w:val="false"/>
          <w:color w:val="000000"/>
          <w:sz w:val="22"/>
        </w:rPr>
        <w:t> </w:t>
      </w:r>
      <w:r>
        <w:rPr>
          <w:rFonts w:ascii="Times New Roman" w:hAnsi="Times New Roman"/>
          <w:b w:val="false"/>
          <w:i/>
          <w:color w:val="000000"/>
          <w:sz w:val="22"/>
        </w:rPr>
        <w:t xml:space="preserve">Encroachments and obstructions.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remove any existing obstructions within the highway right-of-way and prevent any future obstructions from occurring within the highway right-of-way, in a manner consistent with Iowa Code chapter </w:t>
      </w:r>
      <w:hyperlink r:id="rId37">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remove any existing encroachments and prevent any future encroachments from occurring within the highway right-of-way, except those authorized or permitted by the highway authority. Under no circumstances shall an overhanging sign or awning be allowed within two feet of the inside edge of the curb (also known as the face of the curb, which is that part of the curb that is next to traffic) or within two feet of the edge of the pavement in the absence of a curb. Any encroachments authorized or permitted by the highway authority shall be in accordance with Iowa Code chapter </w:t>
      </w:r>
      <w:hyperlink r:id="rId38">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150.4(3)</w:t>
      </w:r>
      <w:r>
        <w:rPr>
          <w:rFonts w:ascii="Times New Roman" w:hAnsi="Times New Roman"/>
          <w:b w:val="false"/>
          <w:i w:val="false"/>
          <w:color w:val="000000"/>
          <w:sz w:val="22"/>
        </w:rPr>
        <w:t> </w:t>
      </w:r>
      <w:r>
        <w:rPr>
          <w:rFonts w:ascii="Times New Roman" w:hAnsi="Times New Roman"/>
          <w:b w:val="false"/>
          <w:i/>
          <w:color w:val="000000"/>
          <w:sz w:val="22"/>
        </w:rPr>
        <w:t xml:space="preserve">Pedestrian, equestrian, and bicycle routes (sidewalks).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remove and replace portions of existing routes as required by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consider the impacts to pedestrian accommodation at all stages of the project development process and encourage pedestrian accommodation efforts when pedestrian accommodation is impacted by highway construction. The cost of pedestrian accommodation made at the time of the highway improvement may be considered an additional roadway construction cost. Providing pedestrian accommodation independent of a highway construction project may be considered with construction funding obtained from local jurisdictions or other federal and non-road use tax state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project is initiated by the department, the department shall fund 100 percent of all curb ramps, turning spaces, transitions, sidewalks, curb drops and pedestrian signals within the right-of-way of primary road extensions to meet the requirements of the Americans with Disabilities Act if such improvements are in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project is initiated by a local jurisdiction, the department may participate by funding 55 percent of the cost of constructing curb ramps, turning spaces, transitions, sidewalks, curb drops and pedestrian signals on existing sidewalks within the right-of-way of primary road extensions to meet the requirements of the Americans with Disabilities Act if such improvements are in the project. However, departmental participation shall not exceed $250,000 per year for any one local jurisdiction and $5 million per year in total.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150.4(4)</w:t>
      </w:r>
      <w:r>
        <w:rPr>
          <w:rFonts w:ascii="Times New Roman" w:hAnsi="Times New Roman"/>
          <w:b w:val="false"/>
          <w:i w:val="false"/>
          <w:color w:val="000000"/>
          <w:sz w:val="22"/>
        </w:rPr>
        <w:t> </w:t>
      </w:r>
      <w:r>
        <w:rPr>
          <w:rFonts w:ascii="Times New Roman" w:hAnsi="Times New Roman"/>
          <w:b w:val="false"/>
          <w:i/>
          <w:color w:val="000000"/>
          <w:sz w:val="22"/>
        </w:rPr>
        <w:t xml:space="preserve">Overpasses and underpasses for pedestrian, equestrian, and bicycle routes.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initial construction of freeways and other relocated primary road extensions and when user-volumes and topographic conditions warrant the construction of a separation, the cost shall be shared between the department and the city on the basis of the current U-STEP cost apportionment.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participate in a city-initiated separation as an unscheduled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150.4(5)</w:t>
      </w:r>
      <w:r>
        <w:rPr>
          <w:rFonts w:ascii="Times New Roman" w:hAnsi="Times New Roman"/>
          <w:b w:val="false"/>
          <w:i w:val="false"/>
          <w:color w:val="000000"/>
          <w:sz w:val="22"/>
        </w:rPr>
        <w:t> </w:t>
      </w:r>
      <w:r>
        <w:rPr>
          <w:rFonts w:ascii="Times New Roman" w:hAnsi="Times New Roman"/>
          <w:b w:val="false"/>
          <w:i/>
          <w:color w:val="000000"/>
          <w:sz w:val="22"/>
        </w:rPr>
        <w:t xml:space="preserve">Utility relocation and removal.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city shall relocate or cause to be relocated, without cost to the department, all city-owned utilities necessary for construction when these utilities are within the existing street or alley right-of-way. The department shall reimburse the owner of a utility which is located on private right-of-way for the costs of relocation or removal, including the costs of installation in a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comply with the utility accommodation policy of the department, as adopted in </w:t>
      </w:r>
      <w:hyperlink r:id="rId39">
        <w:r>
          <w:rPr>
            <w:rStyle w:val="Hyperlink"/>
            <w:rFonts w:ascii="Times New Roman" w:hAnsi="Times New Roman"/>
            <w:b w:val="false"/>
            <w:i w:val="false"/>
            <w:color w:val="000000"/>
            <w:sz w:val="22"/>
          </w:rPr>
          <w:t>761—Chapter 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150.4(6)</w:t>
      </w:r>
      <w:r>
        <w:rPr>
          <w:rFonts w:ascii="Times New Roman" w:hAnsi="Times New Roman"/>
          <w:b w:val="false"/>
          <w:i w:val="false"/>
          <w:color w:val="000000"/>
          <w:sz w:val="22"/>
        </w:rPr>
        <w:t> </w:t>
      </w:r>
      <w:r>
        <w:rPr>
          <w:rFonts w:ascii="Times New Roman" w:hAnsi="Times New Roman"/>
          <w:b w:val="false"/>
          <w:i/>
          <w:color w:val="000000"/>
          <w:sz w:val="22"/>
        </w:rPr>
        <w:t xml:space="preserve">Project concept statements and predesign project agreements for proposed construction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early as possible after an urban project is included in the department’s “Five-Year Iowa Transportation Improvement Program,” a concept statement for the project shall be developed and shall be reviewed with the officials of the city prior to the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design process, a predesign project agreement may be submitted to city officials for their approval. It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preliminary description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general concepts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Responsibilities for right-of-way acquisition, storm sewer costs and utility adjustment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parking and access control restrictions to be applied to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Financial participation above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150.4(7)</w:t>
      </w:r>
      <w:r>
        <w:rPr>
          <w:rFonts w:ascii="Times New Roman" w:hAnsi="Times New Roman"/>
          <w:b w:val="false"/>
          <w:i w:val="false"/>
          <w:color w:val="000000"/>
          <w:sz w:val="22"/>
        </w:rPr>
        <w:t> </w:t>
      </w:r>
      <w:r>
        <w:rPr>
          <w:rFonts w:ascii="Times New Roman" w:hAnsi="Times New Roman"/>
          <w:b w:val="false"/>
          <w:i/>
          <w:color w:val="000000"/>
          <w:sz w:val="22"/>
        </w:rPr>
        <w:t xml:space="preserve">Preconstruction project agreements for proposed construction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close liaison with the city during the development of the project plan so that all parties will be fully informed of the details involved in the proposed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plan is sufficiently complete to provide typical cross sections, plan and profile drawings and incidental details, the department shall submit a preconstruction project agreement, which shall include known design data, to city officials for their approval. Terms for reimbursement to the state and local financial participation shall be stated in this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Modifications to this agreement necessitated by design changes encountered during construction shall be made by extra work order agreed to in writing by the city, the contractor, and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306.4</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313.21 to 313.24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313.27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313.36</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314.5 and 314.6</w:t>
        </w:r>
      </w:hyperlink>
      <w:r>
        <w:rPr>
          <w:rFonts w:ascii="Times New Roman" w:hAnsi="Times New Roman"/>
          <w:b w:val="false"/>
          <w:i w:val="false"/>
          <w:color w:val="000000"/>
          <w:sz w:val="22"/>
        </w:rPr>
        <w:t xml:space="preserve"> and chapters </w:t>
      </w:r>
      <w:hyperlink r:id="rId45">
        <w:r>
          <w:rPr>
            <w:rStyle w:val="Hyperlink"/>
            <w:rFonts w:ascii="Times New Roman" w:hAnsi="Times New Roman"/>
            <w:b w:val="false"/>
            <w:i w:val="false"/>
            <w:color w:val="000000"/>
            <w:sz w:val="22"/>
          </w:rPr>
          <w:t>306A</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0478C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3501C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761—150.5</w:t>
      </w:r>
      <w:r>
        <w:rPr>
          <w:rFonts w:ascii="Times New Roman" w:hAnsi="Times New Roman"/>
          <w:b/>
          <w:i w:val="false"/>
          <w:color w:val="000000"/>
          <w:sz w:val="22"/>
        </w:rPr>
        <w:t xml:space="preserve">(307) </w:t>
      </w:r>
      <w:r>
        <w:rPr>
          <w:rFonts w:ascii="Times New Roman" w:hAnsi="Times New Roman"/>
          <w:b/>
          <w:i w:val="false"/>
          <w:color w:val="000000"/>
          <w:sz w:val="22"/>
        </w:rPr>
        <w:t xml:space="preserve">Special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150.5(1)</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of transportation may, in response to a written petition, waive provisions of this chapter in accordance with </w:t>
      </w:r>
      <w:hyperlink r:id="rId47">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xml:space="preserve">. The written petition must contain the information as required in </w:t>
      </w:r>
      <w:hyperlink r:id="rId48">
        <w:r>
          <w:rPr>
            <w:rStyle w:val="Hyperlink"/>
            <w:rFonts w:ascii="Times New Roman" w:hAnsi="Times New Roman"/>
            <w:b w:val="false"/>
            <w:i w:val="false"/>
            <w:color w:val="000000"/>
            <w:sz w:val="22"/>
          </w:rPr>
          <w:t>761—subrule 11.5(2)</w:t>
        </w:r>
      </w:hyperlink>
      <w:r>
        <w:rPr>
          <w:rFonts w:ascii="Times New Roman" w:hAnsi="Times New Roman"/>
          <w:b w:val="false"/>
          <w:i w:val="false"/>
          <w:color w:val="000000"/>
          <w:sz w:val="22"/>
        </w:rPr>
        <w:t xml:space="preserve"> and shall be submitted to the Rules Administrator, Government and Community Relations, Iowa Department of Transportation, 800 Lincoln Way, Ames, Iowa 50010; or by email to the rules administrator’s email address listed on the department’s website at </w:t>
      </w:r>
      <w:hyperlink r:id="rId49">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150.5(2)</w:t>
      </w:r>
      <w:r>
        <w:rPr>
          <w:rFonts w:ascii="Times New Roman" w:hAnsi="Times New Roman"/>
          <w:b w:val="false"/>
          <w:i w:val="false"/>
          <w:color w:val="000000"/>
          <w:sz w:val="22"/>
        </w:rPr>
        <w:t> </w:t>
      </w:r>
      <w:r>
        <w:rPr>
          <w:rFonts w:ascii="Times New Roman" w:hAnsi="Times New Roman"/>
          <w:b w:val="false"/>
          <w:i/>
          <w:color w:val="000000"/>
          <w:sz w:val="22"/>
        </w:rPr>
        <w:t xml:space="preserve">Waivers involving interstate highways. </w:t>
      </w:r>
      <w:r>
        <w:rPr>
          <w:rFonts w:ascii="Times New Roman" w:hAnsi="Times New Roman"/>
          <w:b w:val="false"/>
          <w:i w:val="false"/>
          <w:color w:val="000000"/>
          <w:sz w:val="22"/>
        </w:rPr>
        <w:t>The director of transportation shall not waive these rules if the request involves the interstate highway system, including its ramps, without the approval of the Federal Highway Administration.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307.12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3501C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5427C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7/28/21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4/4/85, Notice 2/13/85—published 4/24/85, effective 5/29/85]</w:t>
      </w:r>
    </w:p>
    <w:p>
      <w:pPr>
        <w:spacing w:before="0" w:after="0"/>
        <w:ind w:left="120"/>
        <w:jc w:val="center"/>
      </w:pPr>
      <w:r>
        <w:rPr>
          <w:rFonts w:ascii="Times New Roman" w:hAnsi="Times New Roman"/>
          <w:b w:val="false"/>
          <w:i w:val="false"/>
          <w:color w:val="000000"/>
          <w:sz w:val="21"/>
        </w:rPr>
        <w:t>[Filed emergency 7/18/85—published 8/14/85, effective 7/19/85]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8/26/88 after Notice of 7/13/88—published 9/21/88, effective 8/26/88]</w:t>
      </w:r>
    </w:p>
    <w:p>
      <w:pPr>
        <w:spacing w:before="0" w:after="0"/>
        <w:ind w:left="120"/>
        <w:jc w:val="center"/>
      </w:pPr>
      <w:r>
        <w:rPr>
          <w:rFonts w:ascii="Times New Roman" w:hAnsi="Times New Roman"/>
          <w:b w:val="false"/>
          <w:i w:val="false"/>
          <w:color w:val="000000"/>
          <w:sz w:val="21"/>
        </w:rPr>
        <w:t>[Filed 5/19/89, Notice 4/5/89—published 6/14/89, effective 7/19/89]</w:t>
      </w:r>
    </w:p>
    <w:p>
      <w:pPr>
        <w:spacing w:before="0" w:after="0"/>
        <w:ind w:left="120"/>
        <w:jc w:val="center"/>
      </w:pPr>
      <w:r>
        <w:rPr>
          <w:rFonts w:ascii="Times New Roman" w:hAnsi="Times New Roman"/>
          <w:b w:val="false"/>
          <w:i w:val="false"/>
          <w:color w:val="000000"/>
          <w:sz w:val="21"/>
        </w:rPr>
        <w:t>[Filed emergency 4/17/96 after Notice 3/13/96—published 5/8/96, effective 4/18/96]</w:t>
      </w:r>
    </w:p>
    <w:p>
      <w:pPr>
        <w:spacing w:before="0" w:after="0"/>
        <w:ind w:left="120"/>
        <w:jc w:val="center"/>
      </w:pPr>
      <w:r>
        <w:rPr>
          <w:rFonts w:ascii="Times New Roman" w:hAnsi="Times New Roman"/>
          <w:b w:val="false"/>
          <w:i w:val="false"/>
          <w:color w:val="000000"/>
          <w:sz w:val="21"/>
        </w:rPr>
        <w:t>[Filed 7/20/00, Notice 5/17/00—published 8/9/00, effective 9/13/00]</w:t>
      </w:r>
    </w:p>
    <w:p>
      <w:pPr>
        <w:spacing w:before="0" w:after="0"/>
        <w:ind w:left="120"/>
        <w:jc w:val="center"/>
      </w:pPr>
      <w:r>
        <w:rPr>
          <w:rFonts w:ascii="Times New Roman" w:hAnsi="Times New Roman"/>
          <w:b w:val="false"/>
          <w:i w:val="false"/>
          <w:color w:val="000000"/>
          <w:sz w:val="21"/>
        </w:rPr>
        <w:t>[Filed 9/10/02, Notice 7/10/02—published 10/2/02, effective 11/6/02]</w:t>
      </w:r>
    </w:p>
    <w:p>
      <w:pPr>
        <w:spacing w:before="0" w:after="0"/>
        <w:ind w:left="120"/>
        <w:jc w:val="center"/>
      </w:pPr>
      <w:r>
        <w:rPr>
          <w:rFonts w:ascii="Times New Roman" w:hAnsi="Times New Roman"/>
          <w:b w:val="false"/>
          <w:i w:val="false"/>
          <w:color w:val="000000"/>
          <w:sz w:val="21"/>
        </w:rPr>
        <w:t>[Filed ARC 0478C</w:t>
      </w:r>
      <w:r>
        <w:rPr>
          <w:rFonts w:ascii="Times New Roman" w:hAnsi="Times New Roman"/>
          <w:b w:val="false"/>
          <w:i w:val="false"/>
          <w:color w:val="000000"/>
          <w:sz w:val="21"/>
        </w:rPr>
        <w:t xml:space="preserve"> (Notice ARC 0333C, IAB 9/19/12)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3501C</w:t>
      </w:r>
      <w:r>
        <w:rPr>
          <w:rFonts w:ascii="Times New Roman" w:hAnsi="Times New Roman"/>
          <w:b w:val="false"/>
          <w:i w:val="false"/>
          <w:color w:val="000000"/>
          <w:sz w:val="21"/>
        </w:rPr>
        <w:t xml:space="preserve"> (Notice ARC 3367C, IAB 10/11/17)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5427C</w:t>
      </w:r>
      <w:r>
        <w:rPr>
          <w:rFonts w:ascii="Times New Roman" w:hAnsi="Times New Roman"/>
          <w:b w:val="false"/>
          <w:i w:val="false"/>
          <w:color w:val="000000"/>
          <w:sz w:val="21"/>
        </w:rPr>
        <w:t xml:space="preserve"> (Notice ARC 5244C, IAB 11/4/20)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[Editorial change: IAC Supplement 7/28/21]</w:t>
      </w:r>
    </w:p>
    <w:p>
      <w:pPr>
        <w:spacing w:before="0" w:after="0"/>
        <w:ind w:left="120"/>
        <w:jc w:val="center"/>
      </w:pPr>
      <w:r>
        <w:rPr>
          <w:rFonts w:ascii="Times New Roman" w:hAnsi="Times New Roman"/>
          <w:b w:val="false"/>
          <w:i w:val="false"/>
          <w:color w:val="000000"/>
          <w:sz w:val="21"/>
        </w:rPr>
        <w:t>[Filed ARC 6562C</w:t>
      </w:r>
      <w:r>
        <w:rPr>
          <w:rFonts w:ascii="Times New Roman" w:hAnsi="Times New Roman"/>
          <w:b w:val="false"/>
          <w:i w:val="false"/>
          <w:color w:val="000000"/>
          <w:sz w:val="21"/>
        </w:rPr>
        <w:t xml:space="preserve"> (Notice ARC 6434C, IAB 7/27/22)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61.112.pdf" Type="http://schemas.openxmlformats.org/officeDocument/2006/relationships/hyperlink" Id="rId5"/>
    <Relationship TargetMode="External" Target="https://www.legis.iowa.gov/docs/ico/chapter/362.2.pdf" Type="http://schemas.openxmlformats.org/officeDocument/2006/relationships/hyperlink" Id="rId6"/>
    <Relationship TargetMode="External" Target="https://www.legis.iowa.gov/docs/iac/chapter/761.130.pdf" Type="http://schemas.openxmlformats.org/officeDocument/2006/relationships/hyperlink" Id="rId7"/>
    <Relationship TargetMode="External" Target="https://www.legis.iowa.gov/docs/ico/chapter/318.1.pdf" Type="http://schemas.openxmlformats.org/officeDocument/2006/relationships/hyperlink" Id="rId8"/>
    <Relationship TargetMode="External" Target="https://www.legis.iowa.gov/docs/ico/chapter/306A.13.pdf" Type="http://schemas.openxmlformats.org/officeDocument/2006/relationships/hyperlink" Id="rId9"/>
    <Relationship TargetMode="External" Target="https://www.legis.iowa.gov/docs/ico/chapter/306.2.pdf" Type="http://schemas.openxmlformats.org/officeDocument/2006/relationships/hyperlink" Id="rId10"/>
    <Relationship TargetMode="External" Target="https://www.legis.iowa.gov/docs/ico/chapter/306.3.pdf" Type="http://schemas.openxmlformats.org/officeDocument/2006/relationships/hyperlink" Id="rId11"/>
    <Relationship TargetMode="External" Target="https://www.legis.iowa.gov/docs/ico/chapter/306A.13.pdf" Type="http://schemas.openxmlformats.org/officeDocument/2006/relationships/hyperlink" Id="rId12"/>
    <Relationship TargetMode="External" Target="https://www.legis.iowa.gov/docs/ico/chapter/318.1.pdf" Type="http://schemas.openxmlformats.org/officeDocument/2006/relationships/hyperlink" Id="rId13"/>
    <Relationship TargetMode="External" Target="https://www.legis.iowa.gov/docs/ico/chapter/362.2.pdf" Type="http://schemas.openxmlformats.org/officeDocument/2006/relationships/hyperlink" Id="rId14"/>
    <Relationship TargetMode="External" Target="https://www.legis.iowa.gov/docs/ico/chapter/306.4.pdf" Type="http://schemas.openxmlformats.org/officeDocument/2006/relationships/hyperlink" Id="rId15"/>
    <Relationship TargetMode="External" Target="https://www.legis.iowa.gov/docs/ico/chapter/306.42.pdf" Type="http://schemas.openxmlformats.org/officeDocument/2006/relationships/hyperlink" Id="rId16"/>
    <Relationship TargetMode="External" Target="https://www.legis.iowa.gov/docs/ico/chapter/313.4.pdf" Type="http://schemas.openxmlformats.org/officeDocument/2006/relationships/hyperlink" Id="rId17"/>
    <Relationship TargetMode="External" Target="https://www.legis.iowa.gov/docs/ico/chapter/313.5.pdf" Type="http://schemas.openxmlformats.org/officeDocument/2006/relationships/hyperlink" Id="rId18"/>
    <Relationship TargetMode="External" Target="https://www.legis.iowa.gov/docs/ico/chapter/313.21-24.pdf" Type="http://schemas.openxmlformats.org/officeDocument/2006/relationships/hyperlink" Id="rId19"/>
    <Relationship TargetMode="External" Target="https://www.legis.iowa.gov/docs/ico/chapter/313.27.pdf" Type="http://schemas.openxmlformats.org/officeDocument/2006/relationships/hyperlink" Id="rId20"/>
    <Relationship TargetMode="External" Target="https://www.legis.iowa.gov/docs/ico/chapter/313.36.pdf" Type="http://schemas.openxmlformats.org/officeDocument/2006/relationships/hyperlink" Id="rId21"/>
    <Relationship TargetMode="External" Target="https://www.legis.iowa.gov/docs/ico/chapter/314.5,6.pdf" Type="http://schemas.openxmlformats.org/officeDocument/2006/relationships/hyperlink" Id="rId22"/>
    <Relationship TargetMode="External" Target="https://www.legis.iowa.gov/docs/ico/chapter/306A.pdf" Type="http://schemas.openxmlformats.org/officeDocument/2006/relationships/hyperlink" Id="rId23"/>
    <Relationship TargetMode="External" Target="https://www.legis.iowa.gov/docs/iac/rule/761.150.4.pdf" Type="http://schemas.openxmlformats.org/officeDocument/2006/relationships/hyperlink" Id="rId24"/>
    <Relationship TargetMode="External" Target="https://www.legis.iowa.gov/docs/ico/chapter/309.1.pdf" Type="http://schemas.openxmlformats.org/officeDocument/2006/relationships/hyperlink" Id="rId25"/>
    <Relationship TargetMode="External" Target="https://www.legis.iowa.gov/docs/iac/chapter/761.112.pdf" Type="http://schemas.openxmlformats.org/officeDocument/2006/relationships/hyperlink" Id="rId26"/>
    <Relationship TargetMode="External" Target="https://www.legis.iowa.gov/docs/ico/chapter/306.4.pdf" Type="http://schemas.openxmlformats.org/officeDocument/2006/relationships/hyperlink" Id="rId27"/>
    <Relationship TargetMode="External" Target="https://www.legis.iowa.gov/docs/ico/chapter/306.42.pdf" Type="http://schemas.openxmlformats.org/officeDocument/2006/relationships/hyperlink" Id="rId28"/>
    <Relationship TargetMode="External" Target="https://www.legis.iowa.gov/docs/ico/chapter/313.5.pdf" Type="http://schemas.openxmlformats.org/officeDocument/2006/relationships/hyperlink" Id="rId29"/>
    <Relationship TargetMode="External" Target="https://www.legis.iowa.gov/docs/ico/chapter/313.21-24.pdf" Type="http://schemas.openxmlformats.org/officeDocument/2006/relationships/hyperlink" Id="rId30"/>
    <Relationship TargetMode="External" Target="https://www.legis.iowa.gov/docs/ico/chapter/313.27.pdf" Type="http://schemas.openxmlformats.org/officeDocument/2006/relationships/hyperlink" Id="rId31"/>
    <Relationship TargetMode="External" Target="https://www.legis.iowa.gov/docs/ico/chapter/313.36.pdf" Type="http://schemas.openxmlformats.org/officeDocument/2006/relationships/hyperlink" Id="rId32"/>
    <Relationship TargetMode="External" Target="https://www.legis.iowa.gov/docs/ico/chapter/314.5.pdf" Type="http://schemas.openxmlformats.org/officeDocument/2006/relationships/hyperlink" Id="rId33"/>
    <Relationship TargetMode="External" Target="https://www.legis.iowa.gov/docs/ico/chapter/314.6.pdf" Type="http://schemas.openxmlformats.org/officeDocument/2006/relationships/hyperlink" Id="rId34"/>
    <Relationship TargetMode="External" Target="https://www.legis.iowa.gov/docs/ico/chapter/321E.3.pdf" Type="http://schemas.openxmlformats.org/officeDocument/2006/relationships/hyperlink" Id="rId35"/>
    <Relationship TargetMode="External" Target="https://www.legis.iowa.gov/docs/ico/chapter/306A.pdf" Type="http://schemas.openxmlformats.org/officeDocument/2006/relationships/hyperlink" Id="rId36"/>
    <Relationship TargetMode="External" Target="https://www.legis.iowa.gov/docs/ico/chapter/318.pdf" Type="http://schemas.openxmlformats.org/officeDocument/2006/relationships/hyperlink" Id="rId37"/>
    <Relationship TargetMode="External" Target="https://www.legis.iowa.gov/docs/ico/chapter/318.pdf" Type="http://schemas.openxmlformats.org/officeDocument/2006/relationships/hyperlink" Id="rId38"/>
    <Relationship TargetMode="External" Target="https://www.legis.iowa.gov/docs/iac/chapter/761.115.pdf" Type="http://schemas.openxmlformats.org/officeDocument/2006/relationships/hyperlink" Id="rId39"/>
    <Relationship TargetMode="External" Target="https://www.legis.iowa.gov/docs/ico/chapter/306.4.pdf" Type="http://schemas.openxmlformats.org/officeDocument/2006/relationships/hyperlink" Id="rId40"/>
    <Relationship TargetMode="External" Target="https://www.legis.iowa.gov/docs/ico/chapter/313.21-24.pdf" Type="http://schemas.openxmlformats.org/officeDocument/2006/relationships/hyperlink" Id="rId41"/>
    <Relationship TargetMode="External" Target="https://www.legis.iowa.gov/docs/ico/chapter/313.27.pdf" Type="http://schemas.openxmlformats.org/officeDocument/2006/relationships/hyperlink" Id="rId42"/>
    <Relationship TargetMode="External" Target="https://www.legis.iowa.gov/docs/ico/chapter/313.36.pdf" Type="http://schemas.openxmlformats.org/officeDocument/2006/relationships/hyperlink" Id="rId43"/>
    <Relationship TargetMode="External" Target="https://www.legis.iowa.gov/docs/ico/chapter/314.5,6.pdf" Type="http://schemas.openxmlformats.org/officeDocument/2006/relationships/hyperlink" Id="rId44"/>
    <Relationship TargetMode="External" Target="https://www.legis.iowa.gov/docs/ico/chapter/306A.pdf" Type="http://schemas.openxmlformats.org/officeDocument/2006/relationships/hyperlink" Id="rId45"/>
    <Relationship TargetMode="External" Target="https://www.legis.iowa.gov/docs/ico/chapter/318.pdf" Type="http://schemas.openxmlformats.org/officeDocument/2006/relationships/hyperlink" Id="rId46"/>
    <Relationship TargetMode="External" Target="https://www.legis.iowa.gov/docs/iac/chapter/761.11.pdf" Type="http://schemas.openxmlformats.org/officeDocument/2006/relationships/hyperlink" Id="rId47"/>
    <Relationship TargetMode="External" Target="https://www.legis.iowa.gov/docs/iac/rule/761.11.5.pdf" Type="http://schemas.openxmlformats.org/officeDocument/2006/relationships/hyperlink" Id="rId48"/>
    <Relationship TargetMode="External" Target="http://iowadot.gov/administrativerules" Type="http://schemas.openxmlformats.org/officeDocument/2006/relationships/hyperlink" Id="rId49"/>
    <Relationship TargetMode="External" Target="https://www.legis.iowa.gov/docs/ico/chapter/17A.9A.pdf" Type="http://schemas.openxmlformats.org/officeDocument/2006/relationships/hyperlink" Id="rId50"/>
    <Relationship TargetMode="External" Target="https://www.legis.iowa.gov/docs/ico/chapter/307.12.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