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TRAFFIC SIGNAL SYNCHRONIZATION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761—143.1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(364)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definitions apply to these rules: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“Arterial street”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U.S. or state numbered route, controlled access highway, or other major street or highway designated by the city within its respective jurisdiction as a part of a major arterial system of streets or highways.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“Controller”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supervisory device that controls the sequence and duration of indications displayed by traffic signals.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“Coordination”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establishment of a definite timing relationship between adjacent traffic signals.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“Cycle”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complete sequence of traffic signal indications (phases).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“Detector”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device that senses vehicular or pedestrian demand and transmits an impulse to a controller.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“Local controller”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controller supervising the operation of traffic signals at a single or two closely spaced intersections.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“Master controller”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controller supervising the operation of several local controllers.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“Phase”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portion of the cycle during which an assignment of right-of-way is made to a traffic movement or combination of traffic movements.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“Traffic signal”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permanently installed, electrically powered traffic control device by which traffic is alternately directed to stop and to proceed.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“Traffic signal system”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two or more traffic signals operating in a coordinated manner. Types of coordinated systems: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/>
          <w:color w:val="000000"/>
          <w:sz w:val="22"/>
        </w:rPr>
        <w:t>“Adaptive signal control system”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means a system in which traffic signals across a signal network are coordinated by adjusting the lengths of signal phases based on prevailing traffic conditions.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/>
          <w:color w:val="000000"/>
          <w:sz w:val="22"/>
        </w:rPr>
        <w:t>“Computerized system”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means a system in which controllers are supervised by a computer.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/>
          <w:color w:val="000000"/>
          <w:sz w:val="22"/>
        </w:rPr>
        <w:t>“Interconnected master-controlled system”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means a system in which local controllers are supervised by a master controller through a communications link (wire/radio). The master establishes a base line condition; the local then operates its intersection in a predetermined relationship with the base line.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/>
          <w:color w:val="000000"/>
          <w:sz w:val="22"/>
        </w:rPr>
        <w:t>“Noninterconnected system”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means a system in which timing relationships between individual local controllers are coordinated by manual settings, without physical interconnection between the controllers.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5.   </w:t>
      </w:r>
      <w:r>
        <w:rPr>
          <w:rFonts w:ascii="Times New Roman" w:hAnsi="Times New Roman"/>
          <w:b w:val="false"/>
          <w:i/>
          <w:color w:val="000000"/>
          <w:sz w:val="22"/>
        </w:rPr>
        <w:t>“Time-based coordinated system”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means a noninterconnected system in which the local controllers use a programmable digital timing and control device (time-based coordinator) to maintain coordination.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6.   </w:t>
      </w:r>
      <w:r>
        <w:rPr>
          <w:rFonts w:ascii="Times New Roman" w:hAnsi="Times New Roman"/>
          <w:b w:val="false"/>
          <w:i/>
          <w:color w:val="000000"/>
          <w:sz w:val="22"/>
        </w:rPr>
        <w:t>“Traffic responsive system”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means a system in which a master controller specifies cycle timings based on the real time demands of traffic as sensed by vehicle detectors.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2984C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3/15/17, effective 4/19/17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761—143.2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(364)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applies to all cities with more than three traffic signals within the corporate limits.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761—143.3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(364)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Traffic signal inventory.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9/4/02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10/9/02.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761—143.4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(364)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Required synchronization.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143.4(1)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a traffic engineering study documents that it is not practical, traffic signals within one-half mile of each other along an arterial street or in a network of intersecting arterial streets shall be operated as a traffic signal system.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143.4(2)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143.4(3)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Timing and operational plans developed for traffic signals shall be developed by application of traffic engineering principles to provide maximum traffic flow efficiencies and safety.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143.4(4)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traffic signal installations and operations shall meet the requirements of the “Manual on Uniform Traffic Control Devices,” as adopted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761—Chapter 130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2984C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3/15/17, effective 4/19/17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761—143.5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(364)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Reporting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9/4/02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10/9/02.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chapter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364.24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3/12/90, Notice 1/24/90—published 4/4/90, effective 5/9/90]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8/7/02, Notice 6/26/02—published 9/4/02, effective 10/9/02]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2984C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2863C, IAB 12/21/16)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3/15/17, effective 4/19/17]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761.130.pdf" Type="http://schemas.openxmlformats.org/officeDocument/2006/relationships/hyperlink" Id="rId5"/>
    <Relationship TargetMode="External" Target="https://www.legis.iowa.gov/docs/ico/chapter/364.24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