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142</w:t>
      </w:r>
    </w:p>
    <w:p>
      <w:pPr>
        <w:spacing w:before="0" w:after="0"/>
        <w:ind w:left="120"/>
        <w:jc w:val="center"/>
      </w:pPr>
      <w:r>
        <w:rPr>
          <w:rFonts w:ascii="Times New Roman" w:hAnsi="Times New Roman"/>
          <w:b w:val="false"/>
          <w:i w:val="false"/>
          <w:color w:val="000000"/>
          <w:sz w:val="21"/>
        </w:rPr>
        <w:t>SPEED ZONING ON PRIMARY HIGHWAYS</w:t>
      </w:r>
    </w:p>
    <w:p>
      <w:pPr>
        <w:spacing w:before="0" w:after="0"/>
        <w:ind w:left="120"/>
        <w:jc w:val="center"/>
      </w:pPr>
      <w:r>
        <w:rPr>
          <w:rFonts w:ascii="Times New Roman" w:hAnsi="Times New Roman"/>
          <w:b w:val="false"/>
          <w:i w:val="false"/>
          <w:color w:val="000000"/>
          <w:sz w:val="14"/>
        </w:rPr>
        <w:t>[Prior to 6/3/87, Transportation Department[820]—(06,K) 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761—142.1</w:t>
      </w:r>
      <w:r>
        <w:rPr>
          <w:rFonts w:ascii="Times New Roman" w:hAnsi="Times New Roman"/>
          <w:b/>
          <w:i w:val="false"/>
          <w:color w:val="000000"/>
          <w:sz w:val="22"/>
        </w:rPr>
        <w:t xml:space="preserve">(321) </w:t>
      </w:r>
      <w:r>
        <w:rPr>
          <w:rFonts w:ascii="Times New Roman" w:hAnsi="Times New Roman"/>
          <w:b/>
          <w:i w:val="false"/>
          <w:color w:val="000000"/>
          <w:sz w:val="22"/>
        </w:rPr>
        <w:t xml:space="preserve">Adjustment of speed zones on primary highways. </w:t>
      </w:r>
      <w:r>
        <w:rPr>
          <w:rFonts w:ascii="Times New Roman" w:hAnsi="Times New Roman"/>
          <w:b w:val="false"/>
          <w:i w:val="false"/>
          <w:color w:val="000000"/>
          <w:sz w:val="22"/>
        </w:rPr>
        <w:t>The purpose of this rule is to establish the procedure for processing requests to change posted speed limits on primary highways.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142.1(1)</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requests for raising or lowering the posted speed limits on primary highways shall be made to the appropriate district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conduct an engineering and traffic investigation and, if the speed limit is found to be greater or less than is reasonable or safe under the conditions found to exist, the department will declare a reasonable and proper speed limit and post appropriate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or agency submitting the request for the engineering and traffic investigation shall be advised of the conclusions of the study and the action to be taken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142.1(2)</w:t>
      </w:r>
      <w:r>
        <w:rPr>
          <w:rFonts w:ascii="Times New Roman" w:hAnsi="Times New Roman"/>
          <w:b w:val="false"/>
          <w:i w:val="false"/>
          <w:color w:val="000000"/>
          <w:sz w:val="22"/>
        </w:rPr>
        <w:t> </w:t>
      </w:r>
      <w:r>
        <w:rPr>
          <w:rFonts w:ascii="Times New Roman" w:hAnsi="Times New Roman"/>
          <w:b w:val="false"/>
          <w:i/>
          <w:color w:val="000000"/>
          <w:sz w:val="22"/>
        </w:rPr>
        <w:t xml:space="preserve">Information. </w:t>
      </w:r>
      <w:r>
        <w:rPr>
          <w:rFonts w:ascii="Times New Roman" w:hAnsi="Times New Roman"/>
          <w:b w:val="false"/>
          <w:i w:val="false"/>
          <w:color w:val="000000"/>
          <w:sz w:val="22"/>
        </w:rPr>
        <w:t>Information regarding this rule is available from the Traffic and Safety Bureau, Iowa Department of Transportation, 800 Lincoln Way, Ames, Iowa 50010.</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321.285</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321.290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2/24/21</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10/10/02, Notice 8/7/02—published 10/30/02, effective 12/4/02]</w:t>
      </w:r>
    </w:p>
    <w:p>
      <w:pPr>
        <w:spacing w:before="0" w:after="0"/>
        <w:ind w:left="120"/>
        <w:jc w:val="center"/>
      </w:pPr>
      <w:r>
        <w:rPr>
          <w:rFonts w:ascii="Times New Roman" w:hAnsi="Times New Roman"/>
          <w:b w:val="false"/>
          <w:i w:val="false"/>
          <w:color w:val="000000"/>
          <w:sz w:val="21"/>
        </w:rPr>
        <w:t>[Editorial change: IAC Supplement 2/24/21]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285.pdf" Type="http://schemas.openxmlformats.org/officeDocument/2006/relationships/hyperlink" Id="rId5"/>
    <Relationship TargetMode="External" Target="https://www.legis.iowa.gov/docs/ico/chapter/321.290.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