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5.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136</w:t>
      </w:r>
    </w:p>
    <w:p>
      <w:pPr>
        <w:spacing w:before="0" w:after="0"/>
        <w:ind w:left="120"/>
        <w:jc w:val="center"/>
      </w:pPr>
      <w:r>
        <w:rPr>
          <w:rFonts w:ascii="Times New Roman" w:hAnsi="Times New Roman"/>
          <w:b w:val="false"/>
          <w:i w:val="false"/>
          <w:color w:val="000000"/>
          <w:sz w:val="21"/>
        </w:rPr>
        <w:t>LIGHTING</w:t>
      </w:r>
    </w:p>
    <w:p>
      <w:pPr>
        <w:spacing w:before="0" w:after="0"/>
        <w:ind w:left="120"/>
        <w:jc w:val="center"/>
      </w:pPr>
      <w:r>
        <w:rPr>
          <w:rFonts w:ascii="Times New Roman" w:hAnsi="Times New Roman"/>
          <w:b w:val="false"/>
          <w:i w:val="false"/>
          <w:color w:val="000000"/>
          <w:sz w:val="14"/>
        </w:rPr>
        <w:t>[Prior to 6/3/87, Transportation Department[820]—(06,K)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761—136.1</w:t>
      </w:r>
      <w:r>
        <w:rPr>
          <w:rFonts w:ascii="Times New Roman" w:hAnsi="Times New Roman"/>
          <w:b/>
          <w:i w:val="false"/>
          <w:color w:val="000000"/>
          <w:sz w:val="22"/>
        </w:rPr>
        <w:t xml:space="preserve">(306,318) </w:t>
      </w:r>
      <w:r>
        <w:rPr>
          <w:rFonts w:ascii="Times New Roman" w:hAnsi="Times New Roman"/>
          <w:b/>
          <w:i w:val="false"/>
          <w:color w:val="000000"/>
          <w:sz w:val="22"/>
        </w:rPr>
        <w:t xml:space="preserve">Lighting of primary-secondary intersections. </w:t>
      </w:r>
      <w:r>
        <w:rPr>
          <w:rFonts w:ascii="Times New Roman" w:hAnsi="Times New Roman"/>
          <w:b w:val="false"/>
          <w:i w:val="false"/>
          <w:color w:val="000000"/>
          <w:sz w:val="22"/>
        </w:rPr>
        <w:t>The purpose of this rule is to establish the qualification criteria for, the procedures to request, and the financial responsibilities for the placement of roadway luminaires within the limits of the primary road right-of-way at a rural intersection of a primary road and a paved secondary road.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136.1(1)</w:t>
      </w:r>
      <w:r>
        <w:rPr>
          <w:rFonts w:ascii="Times New Roman" w:hAnsi="Times New Roman"/>
          <w:b w:val="false"/>
          <w:i w:val="false"/>
          <w:color w:val="000000"/>
          <w:sz w:val="22"/>
        </w:rPr>
        <w:t> </w:t>
      </w:r>
      <w:r>
        <w:rPr>
          <w:rFonts w:ascii="Times New Roman" w:hAnsi="Times New Roman"/>
          <w:b w:val="false"/>
          <w:i/>
          <w:color w:val="000000"/>
          <w:sz w:val="22"/>
        </w:rPr>
        <w:t xml:space="preserve">Lighting criteria. </w:t>
      </w:r>
      <w:r>
        <w:rPr>
          <w:rFonts w:ascii="Times New Roman" w:hAnsi="Times New Roman"/>
          <w:b w:val="false"/>
          <w:i w:val="false"/>
          <w:color w:val="000000"/>
          <w:sz w:val="22"/>
        </w:rPr>
        <w:t>A primary-secondary intersection is a candidate for lighting if one of the following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night-to-day accident rate ratio is 2.0 or greater with a minimum of three reportable nighttime accidents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Substantial lighted commercial or business development that is affecting operations exists adjacent to the intersection.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Motorists are experiencing operational problems which might be expected to be reduced by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current average daily traffic (ADT) is 3500 entering vehicles for the intersection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intersection is channelized or “T,”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the direction of the major route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136.1(3)</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lighting shall be made by the county to the appropriate district engineer. The request shall indicate the type and size of luminaires proposed, sight distance measurements and posted speed. If the county is requesting that the department participate in the installation costs as a C-STEP (County-State Traffic Engineering Program) project, this should be indicated in the request. A lighting plan shall accompany the request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complete dimensions of the intersection including pavement and shoulders.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locations of proposed luminaires and poles.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mounting heights, mast arm lengths, lateral and vertical light distributions of proposed luminaires and the approximate location for electrical service.</w:t>
      </w:r>
    </w:p>
    <w:p>
      <w:pPr>
        <w:spacing w:before="0" w:after="0"/>
        <w:ind w:left="120"/>
        <w:jc w:val="center"/>
      </w:pPr>
      <w:r>
        <w:drawing>
          <wp:inline distT="0" distB="0" distL="0" distR="0">
            <wp:extent cx="4572000" cy="18288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4572000" cy="18288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engineer shall forward the request to the department’s traffic and safety bureau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design requirements are satisfied, the department shall approve the lighting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county shall be responsible for designing and installing the lighting and for all future energy and maintenance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location qualifies for lighting installation and if funds are available, the department shall share the installation costs on the basis of the current C-STEP participation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department does not share the installation costs but the county wishes to install the lighting, the county shall be responsible for the installation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department will share the installation costs, the department shall prepare an agreement for departmental and county approval.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306.4(1)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318.1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318.2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318.4</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318.5</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318.8</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318.9</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318.12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5492C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761—136.2</w:t>
      </w:r>
      <w:r>
        <w:rPr>
          <w:rFonts w:ascii="Times New Roman" w:hAnsi="Times New Roman"/>
          <w:b/>
          <w:i w:val="false"/>
          <w:color w:val="000000"/>
          <w:sz w:val="22"/>
        </w:rPr>
        <w:t xml:space="preserve">(306,318) </w:t>
      </w:r>
      <w:r>
        <w:rPr>
          <w:rFonts w:ascii="Times New Roman" w:hAnsi="Times New Roman"/>
          <w:b/>
          <w:i w:val="false"/>
          <w:color w:val="000000"/>
          <w:sz w:val="22"/>
        </w:rPr>
        <w:t xml:space="preserve">Destination lighting. </w:t>
      </w:r>
      <w:r>
        <w:rPr>
          <w:rFonts w:ascii="Times New Roman" w:hAnsi="Times New Roman"/>
          <w:b w:val="false"/>
          <w:i w:val="false"/>
          <w:color w:val="000000"/>
          <w:sz w:val="22"/>
        </w:rPr>
        <w:t>The purpose of this rule is to establish the application procedure and financial responsibilities for the placement of a roadway luminaire within the limits of primary road right-of-way at a rural intersection of a primary road and a minor road.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road,” </w:t>
      </w:r>
      <w:r>
        <w:rPr>
          <w:rFonts w:ascii="Times New Roman" w:hAnsi="Times New Roman"/>
          <w:b w:val="false"/>
          <w:i w:val="false"/>
          <w:color w:val="000000"/>
          <w:sz w:val="22"/>
        </w:rPr>
        <w:t>for the purposes of this rule, is an entrance to a primary road from a frontage road, a rural commercial establishment, a governmental agency facility, a generator of a substantial traffic volume, or a secondary road.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136.2(3)</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shall be made to the appropriate district engineer on Form 810025, “Application and Agreement for Use of Highway Right-of-Way for Utilities Accommodation.” Form 810025 is available on the department’s website at </w:t>
      </w:r>
      <w:hyperlink r:id="rId14">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The application shall indicate the type of luminaire and intensity of illumination proposed. A sketch shall accompany the application showing the location of the proposed luminaire and pole and the mounting height of the luminaire.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engineer shall be responsible for departmental approval of the application. A copy of the application indicating the district engineer’s determination shall be returned to the applicant. Approved applications are termed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shall be responsible for installing the lighting and for all installation, energy and maintenance costs.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306.4(1)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318.1</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318.2</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318.4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318.5</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318.8</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318.9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318.12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5492C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761—136.3</w:t>
      </w:r>
      <w:r>
        <w:rPr>
          <w:rFonts w:ascii="Times New Roman" w:hAnsi="Times New Roman"/>
          <w:b w:val="false"/>
          <w:i w:val="false"/>
          <w:color w:val="000000"/>
          <w:sz w:val="22"/>
        </w:rPr>
        <w:t xml:space="preserve"> to </w:t>
      </w:r>
      <w:r>
        <w:rPr>
          <w:rFonts w:ascii="Times New Roman" w:hAnsi="Times New Roman"/>
          <w:b/>
          <w:i w:val="false"/>
          <w:color w:val="000000"/>
          <w:sz w:val="22"/>
        </w:rPr>
        <w:t>136.5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761—136.6</w:t>
      </w:r>
      <w:r>
        <w:rPr>
          <w:rFonts w:ascii="Times New Roman" w:hAnsi="Times New Roman"/>
          <w:b/>
          <w:i w:val="false"/>
          <w:color w:val="000000"/>
          <w:sz w:val="22"/>
        </w:rPr>
        <w:t xml:space="preserve">(306,318) </w:t>
      </w:r>
      <w:r>
        <w:rPr>
          <w:rFonts w:ascii="Times New Roman" w:hAnsi="Times New Roman"/>
          <w:b/>
          <w:i w:val="false"/>
          <w:color w:val="000000"/>
          <w:sz w:val="22"/>
        </w:rPr>
        <w:t xml:space="preserve">Warrants and design requirements for lighting.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136.6(1)</w:t>
      </w:r>
      <w:r>
        <w:rPr>
          <w:rFonts w:ascii="Times New Roman" w:hAnsi="Times New Roman"/>
          <w:b w:val="false"/>
          <w:i w:val="false"/>
          <w:color w:val="000000"/>
          <w:sz w:val="22"/>
        </w:rPr>
        <w:t> </w:t>
      </w:r>
      <w:r>
        <w:rPr>
          <w:rFonts w:ascii="Times New Roman" w:hAnsi="Times New Roman"/>
          <w:b w:val="false"/>
          <w:i/>
          <w:color w:val="000000"/>
          <w:sz w:val="22"/>
        </w:rPr>
        <w:t xml:space="preserve">Warrants. </w:t>
      </w:r>
      <w:r>
        <w:rPr>
          <w:rFonts w:ascii="Times New Roman" w:hAnsi="Times New Roman"/>
          <w:b w:val="false"/>
          <w:i w:val="false"/>
          <w:color w:val="000000"/>
          <w:sz w:val="22"/>
        </w:rPr>
        <w:t>Meeting departmental warrants or criteria for lighting simply establishes the location as a candidate for lighting. It does not obligate the department to provide lighting or to participate in lighting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136.6(2)</w:t>
      </w:r>
      <w:r>
        <w:rPr>
          <w:rFonts w:ascii="Times New Roman" w:hAnsi="Times New Roman"/>
          <w:b w:val="false"/>
          <w:i w:val="false"/>
          <w:color w:val="000000"/>
          <w:sz w:val="22"/>
        </w:rPr>
        <w:t> </w:t>
      </w:r>
      <w:r>
        <w:rPr>
          <w:rFonts w:ascii="Times New Roman" w:hAnsi="Times New Roman"/>
          <w:b w:val="false"/>
          <w:i/>
          <w:color w:val="000000"/>
          <w:sz w:val="22"/>
        </w:rPr>
        <w:t xml:space="preserve">Design requirements. </w:t>
      </w:r>
      <w:r>
        <w:rPr>
          <w:rFonts w:ascii="Times New Roman" w:hAnsi="Times New Roman"/>
          <w:b w:val="false"/>
          <w:i w:val="false"/>
          <w:color w:val="000000"/>
          <w:sz w:val="22"/>
        </w:rPr>
        <w:t>The design of lighting installations shall comply with departmental specifications and standard road plans for highway lighting as they exist at the time of installation of the lighting. The departmental specifications and standard road plans can be found through the department’s electronic reference library on the department’s website.</w:t>
      </w:r>
    </w:p>
    <w:p>
      <w:pPr>
        <w:spacing w:before="0" w:after="0"/>
        <w:ind w:left="120"/>
        <w:jc w:val="both"/>
      </w:pPr>
      <w:r>
        <w:rPr>
          <w:rFonts w:ascii="Times New Roman" w:hAnsi="Times New Roman"/>
          <w:b w:val="false"/>
          <w:i w:val="false"/>
          <w:color w:val="000000"/>
          <w:sz w:val="22"/>
        </w:rPr>
        <w:t>This rule is intended to implement Iowa Code sections</w:t>
      </w:r>
      <w:r>
        <w:rPr>
          <w:rFonts w:ascii="Times New Roman" w:hAnsi="Times New Roman"/>
          <w:b w:val="false"/>
          <w:i w:val="false"/>
          <w:color w:val="000000"/>
          <w:sz w:val="22"/>
        </w:rPr>
        <w:t> </w:t>
      </w:r>
    </w:p>
    <w:p>
      <w:pPr>
        <w:spacing w:before="0" w:after="0"/>
        <w:ind w:left="0"/>
        <w:jc w:val="both"/>
      </w:pPr>
      <w:hyperlink r:id="rId23">
        <w:r>
          <w:rPr>
            <w:rStyle w:val="Hyperlink"/>
            <w:rFonts w:ascii="Times New Roman" w:hAnsi="Times New Roman"/>
            <w:b w:val="false"/>
            <w:i w:val="false"/>
            <w:color w:val="000000"/>
            <w:sz w:val="22"/>
          </w:rPr>
          <w:t>306.4(1)</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318.1</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318.2</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318.4</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318.8</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318.9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5492C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3/12/79, Notice 1/24/79—published 4/4/79, effective 5/9/79]</w:t>
      </w:r>
    </w:p>
    <w:p>
      <w:pPr>
        <w:spacing w:before="0" w:after="0"/>
        <w:ind w:left="120"/>
        <w:jc w:val="center"/>
      </w:pPr>
      <w:r>
        <w:rPr>
          <w:rFonts w:ascii="Times New Roman" w:hAnsi="Times New Roman"/>
          <w:b w:val="false"/>
          <w:i w:val="false"/>
          <w:color w:val="000000"/>
          <w:sz w:val="21"/>
        </w:rPr>
        <w:t>[Filed 12/10/86, Notice 10/8/86—published 12/31/86, effective 2/4/87]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8/26/88, Notice 7/13/88—published 9/21/88, effective 10/26/88]</w:t>
      </w:r>
    </w:p>
    <w:p>
      <w:pPr>
        <w:spacing w:before="0" w:after="0"/>
        <w:ind w:left="120"/>
        <w:jc w:val="center"/>
      </w:pPr>
      <w:r>
        <w:rPr>
          <w:rFonts w:ascii="Times New Roman" w:hAnsi="Times New Roman"/>
          <w:b w:val="false"/>
          <w:i w:val="false"/>
          <w:color w:val="000000"/>
          <w:sz w:val="21"/>
        </w:rPr>
        <w:t>[Filed 8/7/02, Notice 6/26/02—published 9/4/02, effective 10/9/02]</w:t>
      </w:r>
    </w:p>
    <w:p>
      <w:pPr>
        <w:spacing w:before="0" w:after="0"/>
        <w:ind w:left="120"/>
        <w:jc w:val="both"/>
      </w:pPr>
      <w:r>
        <w:rPr>
          <w:rFonts w:ascii="Times New Roman" w:hAnsi="Times New Roman"/>
          <w:b w:val="false"/>
          <w:i w:val="false"/>
          <w:color w:val="000000"/>
          <w:sz w:val="16"/>
        </w:rPr>
        <w:t>NOTE: Diagrams to rule 761—136.1(319) and 761—136.2(319) rescinded IAB 9/21/88, effective 10/26/88.</w:t>
      </w:r>
    </w:p>
    <w:p>
      <w:pPr>
        <w:spacing w:before="0" w:after="0"/>
        <w:ind w:left="120"/>
        <w:jc w:val="center"/>
      </w:pPr>
      <w:r>
        <w:rPr>
          <w:rFonts w:ascii="Times New Roman" w:hAnsi="Times New Roman"/>
          <w:b w:val="false"/>
          <w:i w:val="false"/>
          <w:color w:val="000000"/>
          <w:sz w:val="21"/>
        </w:rPr>
        <w:t>[Filed ARC 5492C</w:t>
      </w:r>
      <w:r>
        <w:rPr>
          <w:rFonts w:ascii="Times New Roman" w:hAnsi="Times New Roman"/>
          <w:b w:val="false"/>
          <w:i w:val="false"/>
          <w:color w:val="000000"/>
          <w:sz w:val="21"/>
        </w:rPr>
        <w:t xml:space="preserve"> (Notice ARC 5341C, IAB 12/30/20)</w:t>
      </w:r>
      <w:r>
        <w:rPr>
          <w:rFonts w:ascii="Times New Roman" w:hAnsi="Times New Roman"/>
          <w:b w:val="false"/>
          <w:i w:val="false"/>
          <w:color w:val="000000"/>
          <w:sz w:val="21"/>
        </w:rPr>
        <w:t>, IAB 3/10/21, effective 4/14/21]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edia/document_image_rId5.gif" Type="http://schemas.openxmlformats.org/officeDocument/2006/relationships/image" Id="rId5"/>
    <Relationship TargetMode="External" Target="https://www.legis.iowa.gov/docs/ico/chapter/306.4.pdf" Type="http://schemas.openxmlformats.org/officeDocument/2006/relationships/hyperlink" Id="rId6"/>
    <Relationship TargetMode="External" Target="https://www.legis.iowa.gov/docs/ico/chapter/318.1.pdf" Type="http://schemas.openxmlformats.org/officeDocument/2006/relationships/hyperlink" Id="rId7"/>
    <Relationship TargetMode="External" Target="https://www.legis.iowa.gov/docs/ico/chapter/318.2.pdf" Type="http://schemas.openxmlformats.org/officeDocument/2006/relationships/hyperlink" Id="rId8"/>
    <Relationship TargetMode="External" Target="https://www.legis.iowa.gov/docs/ico/chapter/318.4.pdf" Type="http://schemas.openxmlformats.org/officeDocument/2006/relationships/hyperlink" Id="rId9"/>
    <Relationship TargetMode="External" Target="https://www.legis.iowa.gov/docs/ico/chapter/318.5.pdf" Type="http://schemas.openxmlformats.org/officeDocument/2006/relationships/hyperlink" Id="rId10"/>
    <Relationship TargetMode="External" Target="https://www.legis.iowa.gov/docs/ico/chapter/318.8.pdf" Type="http://schemas.openxmlformats.org/officeDocument/2006/relationships/hyperlink" Id="rId11"/>
    <Relationship TargetMode="External" Target="https://www.legis.iowa.gov/docs/ico/chapter/318.9.pdf" Type="http://schemas.openxmlformats.org/officeDocument/2006/relationships/hyperlink" Id="rId12"/>
    <Relationship TargetMode="External" Target="https://www.legis.iowa.gov/docs/ico/chapter/318.12.pdf" Type="http://schemas.openxmlformats.org/officeDocument/2006/relationships/hyperlink" Id="rId13"/>
    <Relationship TargetMode="External" Target="http://www.iowadot.gov" Type="http://schemas.openxmlformats.org/officeDocument/2006/relationships/hyperlink" Id="rId14"/>
    <Relationship TargetMode="External" Target="https://www.legis.iowa.gov/docs/ico/chapter/306.4.pdf" Type="http://schemas.openxmlformats.org/officeDocument/2006/relationships/hyperlink" Id="rId15"/>
    <Relationship TargetMode="External" Target="https://www.legis.iowa.gov/docs/ico/chapter/318.1.pdf" Type="http://schemas.openxmlformats.org/officeDocument/2006/relationships/hyperlink" Id="rId16"/>
    <Relationship TargetMode="External" Target="https://www.legis.iowa.gov/docs/ico/chapter/318.2.pdf" Type="http://schemas.openxmlformats.org/officeDocument/2006/relationships/hyperlink" Id="rId17"/>
    <Relationship TargetMode="External" Target="https://www.legis.iowa.gov/docs/ico/chapter/318.4.pdf" Type="http://schemas.openxmlformats.org/officeDocument/2006/relationships/hyperlink" Id="rId18"/>
    <Relationship TargetMode="External" Target="https://www.legis.iowa.gov/docs/ico/chapter/318.5.pdf" Type="http://schemas.openxmlformats.org/officeDocument/2006/relationships/hyperlink" Id="rId19"/>
    <Relationship TargetMode="External" Target="https://www.legis.iowa.gov/docs/ico/chapter/318.8.pdf" Type="http://schemas.openxmlformats.org/officeDocument/2006/relationships/hyperlink" Id="rId20"/>
    <Relationship TargetMode="External" Target="https://www.legis.iowa.gov/docs/ico/chapter/318.9.pdf" Type="http://schemas.openxmlformats.org/officeDocument/2006/relationships/hyperlink" Id="rId21"/>
    <Relationship TargetMode="External" Target="https://www.legis.iowa.gov/docs/ico/chapter/318.12.pdf" Type="http://schemas.openxmlformats.org/officeDocument/2006/relationships/hyperlink" Id="rId22"/>
    <Relationship TargetMode="External" Target="https://www.legis.iowa.gov/docs/ico/chapter/306.4.pdf" Type="http://schemas.openxmlformats.org/officeDocument/2006/relationships/hyperlink" Id="rId23"/>
    <Relationship TargetMode="External" Target="https://www.legis.iowa.gov/docs/ico/chapter/318.1.pdf" Type="http://schemas.openxmlformats.org/officeDocument/2006/relationships/hyperlink" Id="rId24"/>
    <Relationship TargetMode="External" Target="https://www.legis.iowa.gov/docs/ico/chapter/318.2.pdf" Type="http://schemas.openxmlformats.org/officeDocument/2006/relationships/hyperlink" Id="rId25"/>
    <Relationship TargetMode="External" Target="https://www.legis.iowa.gov/docs/ico/chapter/318.4.pdf" Type="http://schemas.openxmlformats.org/officeDocument/2006/relationships/hyperlink" Id="rId26"/>
    <Relationship TargetMode="External" Target="https://www.legis.iowa.gov/docs/ico/chapter/318.8.pdf" Type="http://schemas.openxmlformats.org/officeDocument/2006/relationships/hyperlink" Id="rId27"/>
    <Relationship TargetMode="External" Target="https://www.legis.iowa.gov/docs/ico/chapter/318.9.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