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TRAFFIC OPERATIONS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130</w:t>
      </w:r>
    </w:p>
    <w:p>
      <w:pPr>
        <w:spacing w:before="0" w:after="0"/>
        <w:ind w:left="120"/>
        <w:jc w:val="center"/>
      </w:pPr>
      <w:r>
        <w:rPr>
          <w:rFonts w:ascii="Times New Roman" w:hAnsi="Times New Roman"/>
          <w:b w:val="false"/>
          <w:i w:val="false"/>
          <w:color w:val="000000"/>
          <w:sz w:val="21"/>
        </w:rPr>
        <w:t>SIGNING MANUAL</w:t>
      </w:r>
    </w:p>
    <w:p>
      <w:pPr>
        <w:spacing w:before="0" w:after="0"/>
        <w:ind w:left="120"/>
        <w:jc w:val="center"/>
      </w:pPr>
      <w:r>
        <w:rPr>
          <w:rFonts w:ascii="Times New Roman" w:hAnsi="Times New Roman"/>
          <w:b w:val="false"/>
          <w:i w:val="false"/>
          <w:color w:val="000000"/>
          <w:sz w:val="14"/>
        </w:rPr>
        <w:t>[Prior to 6/3/87, Transportation Department[820]—(06,K)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761—130.1</w:t>
      </w:r>
      <w:r>
        <w:rPr>
          <w:rFonts w:ascii="Times New Roman" w:hAnsi="Times New Roman"/>
          <w:b/>
          <w:i w:val="false"/>
          <w:color w:val="000000"/>
          <w:sz w:val="22"/>
        </w:rPr>
        <w:t xml:space="preserve">(321) </w:t>
      </w:r>
      <w:r>
        <w:rPr>
          <w:rFonts w:ascii="Times New Roman" w:hAnsi="Times New Roman"/>
          <w:b/>
          <w:i w:val="false"/>
          <w:color w:val="000000"/>
          <w:sz w:val="22"/>
        </w:rPr>
        <w:t xml:space="preserve">Manual. </w:t>
      </w:r>
      <w:r>
        <w:rPr>
          <w:rFonts w:ascii="Times New Roman" w:hAnsi="Times New Roman"/>
          <w:b w:val="false"/>
          <w:i w:val="false"/>
          <w:color w:val="000000"/>
          <w:sz w:val="22"/>
        </w:rPr>
        <w:t>The “Manual on Uniform Traffic Control Devices” (MUTCD), 2009 Edition with Revision Numbers 1 and 2, dated May 2012, published by the U.S. Department of Transportation, Federal Highway Administration, shall constitute the manual and specifications for a uniform system of traffic control devices for use upon the highways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130.1(1)</w:t>
      </w:r>
      <w:r>
        <w:rPr>
          <w:rFonts w:ascii="Times New Roman" w:hAnsi="Times New Roman"/>
          <w:b w:val="false"/>
          <w:i w:val="false"/>
          <w:color w:val="000000"/>
          <w:sz w:val="22"/>
        </w:rPr>
        <w:t> </w:t>
      </w:r>
      <w:r>
        <w:rPr>
          <w:rFonts w:ascii="Times New Roman" w:hAnsi="Times New Roman"/>
          <w:b w:val="false"/>
          <w:i w:val="false"/>
          <w:color w:val="000000"/>
          <w:sz w:val="22"/>
        </w:rPr>
        <w:t>The department makes the following exception to the MUTCD for school zones: In Part 2, Section 2B.04, paragraph 12, of the MUTCD, Right-of-Way at Intersections, Standard, in lieu of the sentence “Portable or part-time STOP or YIELD signs shall not be used except for emergency and temporary traffic control zone purposes,” the department adopts the following: “Portable or part-time STOP signs may be used only in the following situations:</w:t>
      </w:r>
    </w:p>
    <w:p>
      <w:pPr>
        <w:spacing w:before="0" w:after="0"/>
        <w:ind w:left="120"/>
        <w:jc w:val="both"/>
      </w:pPr>
      <w:r>
        <w:rPr>
          <w:rFonts w:ascii="Times New Roman" w:hAnsi="Times New Roman"/>
          <w:b w:val="false"/>
          <w:i w:val="false"/>
          <w:color w:val="000000"/>
          <w:sz w:val="22"/>
        </w:rPr>
        <w:t>“1.</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When necessary for emergency and temporary traffic control zone purposes, or</w:t>
      </w:r>
    </w:p>
    <w:p>
      <w:pPr>
        <w:spacing w:before="0" w:after="0"/>
        <w:ind w:left="120"/>
        <w:jc w:val="both"/>
      </w:pPr>
      <w:r>
        <w:rPr>
          <w:rFonts w:ascii="Times New Roman" w:hAnsi="Times New Roman"/>
          <w:b w:val="false"/>
          <w:i w:val="false"/>
          <w:color w:val="000000"/>
          <w:sz w:val="22"/>
        </w:rPr>
        <w:t>“2.</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In school zones at appropriate school crosswalks.”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130.1(2)</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the MUTCD are available for examination at the Office of Traffic and Safety, Iowa Department of Transportation, 800 Lincoln Way, Ames, Iowa 50010. The MUTCD is also available on the Internet at </w:t>
      </w:r>
      <w:hyperlink r:id="rId5">
        <w:r>
          <w:rPr>
            <w:rStyle w:val="Hyperlink"/>
            <w:rFonts w:ascii="Times New Roman" w:hAnsi="Times New Roman"/>
            <w:b w:val="false"/>
            <w:i w:val="false"/>
            <w:color w:val="000000"/>
            <w:sz w:val="22"/>
            <w:u w:val="single"/>
          </w:rPr>
          <w:t>http://mutcd.fhwa.dot.gov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321.249</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321.252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9362B</w:t>
      </w:r>
      <w:r>
        <w:rPr>
          <w:rFonts w:ascii="Times New Roman" w:hAnsi="Times New Roman"/>
          <w:b w:val="false"/>
          <w:i w:val="false"/>
          <w:color w:val="000000"/>
          <w:sz w:val="16"/>
        </w:rPr>
        <w:t>, IAB 2/9/11, effective 3/16/11</w:t>
      </w:r>
      <w:r>
        <w:rPr>
          <w:rFonts w:ascii="Times New Roman" w:hAnsi="Times New Roman"/>
          <w:b w:val="false"/>
          <w:i w:val="false"/>
          <w:color w:val="000000"/>
          <w:sz w:val="16"/>
        </w:rPr>
        <w:t xml:space="preserve">; </w:t>
      </w:r>
      <w:r>
        <w:rPr>
          <w:rFonts w:ascii="Times New Roman" w:hAnsi="Times New Roman"/>
          <w:b/>
          <w:i w:val="false"/>
          <w:color w:val="000000"/>
          <w:sz w:val="16"/>
        </w:rPr>
        <w:t>ARC 1986C</w:t>
      </w:r>
      <w:r>
        <w:rPr>
          <w:rFonts w:ascii="Times New Roman" w:hAnsi="Times New Roman"/>
          <w:b w:val="false"/>
          <w:i w:val="false"/>
          <w:color w:val="000000"/>
          <w:sz w:val="16"/>
        </w:rPr>
        <w:t>, IAB 5/13/15, effective 6/17/15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w:t>
      </w:r>
      <w:hyperlink r:id="rId8">
        <w:r>
          <w:rPr>
            <w:rStyle w:val="Hyperlink"/>
            <w:rFonts w:ascii="Times New Roman" w:hAnsi="Times New Roman"/>
            <w:b w:val="false"/>
            <w:i w:val="false"/>
            <w:color w:val="000000"/>
            <w:sz w:val="21"/>
          </w:rPr>
          <w:t>761—Chapter 130</w:t>
        </w:r>
      </w:hyperlink>
      <w:r>
        <w:rPr>
          <w:rFonts w:ascii="Times New Roman" w:hAnsi="Times New Roman"/>
          <w:b w:val="false"/>
          <w:i w:val="false"/>
          <w:color w:val="000000"/>
          <w:sz w:val="21"/>
        </w:rPr>
        <w:t xml:space="preserve"> appeared as Highway Commission rule, 1973 IDR, p.</w:t>
      </w:r>
      <w:r>
        <w:rPr>
          <w:rFonts w:ascii="Times New Roman" w:hAnsi="Times New Roman"/>
          <w:b w:val="false"/>
          <w:i w:val="false"/>
          <w:color w:val="000000"/>
          <w:sz w:val="21"/>
        </w:rPr>
        <w:t> </w:t>
      </w:r>
    </w:p>
    <w:p>
      <w:pPr>
        <w:spacing w:before="0" w:after="0"/>
        <w:ind w:left="120"/>
        <w:jc w:val="center"/>
      </w:pPr>
      <w:r>
        <w:rPr>
          <w:rFonts w:ascii="Times New Roman" w:hAnsi="Times New Roman"/>
          <w:b w:val="false"/>
          <w:i w:val="false"/>
          <w:color w:val="000000"/>
          <w:sz w:val="21"/>
        </w:rPr>
        <w:t>517; amended January 1975 Supplement, p.</w:t>
      </w:r>
      <w:r>
        <w:rPr>
          <w:rFonts w:ascii="Times New Roman" w:hAnsi="Times New Roman"/>
          <w:b w:val="false"/>
          <w:i w:val="false"/>
          <w:color w:val="000000"/>
          <w:sz w:val="21"/>
        </w:rPr>
        <w:t> </w:t>
      </w:r>
    </w:p>
    <w:p>
      <w:pPr>
        <w:spacing w:before="0" w:after="0"/>
        <w:ind w:left="0"/>
        <w:jc w:val="center"/>
      </w:pPr>
      <w:r>
        <w:rPr>
          <w:rFonts w:ascii="Times New Roman" w:hAnsi="Times New Roman"/>
          <w:b w:val="false"/>
          <w:i w:val="false"/>
          <w:color w:val="000000"/>
          <w:sz w:val="21"/>
        </w:rPr>
        <w:t>89. (Note: No chapter number was given.)]</w:t>
      </w:r>
    </w:p>
    <w:p>
      <w:pPr>
        <w:spacing w:before="0" w:after="0"/>
        <w:ind w:left="120"/>
        <w:jc w:val="center"/>
      </w:pPr>
      <w:r>
        <w:rPr>
          <w:rFonts w:ascii="Times New Roman" w:hAnsi="Times New Roman"/>
          <w:b w:val="false"/>
          <w:i w:val="false"/>
          <w:color w:val="000000"/>
          <w:sz w:val="21"/>
        </w:rPr>
        <w:t>[Filed 3/11/65; amended 5/16/72, 9/24/74]</w:t>
      </w:r>
    </w:p>
    <w:p>
      <w:pPr>
        <w:spacing w:before="0" w:after="0"/>
        <w:ind w:left="120"/>
        <w:jc w:val="center"/>
      </w:pPr>
      <w:r>
        <w:rPr>
          <w:rFonts w:ascii="Times New Roman" w:hAnsi="Times New Roman"/>
          <w:b w:val="false"/>
          <w:i w:val="false"/>
          <w:color w:val="000000"/>
          <w:sz w:val="21"/>
        </w:rPr>
        <w:t>[Filed 8/13/79, Notice 5/30/79—published 9/5/79, effective 10/10/79]</w:t>
      </w:r>
    </w:p>
    <w:p>
      <w:pPr>
        <w:spacing w:before="0" w:after="0"/>
        <w:ind w:left="120"/>
        <w:jc w:val="center"/>
      </w:pPr>
      <w:r>
        <w:rPr>
          <w:rFonts w:ascii="Times New Roman" w:hAnsi="Times New Roman"/>
          <w:b w:val="false"/>
          <w:i w:val="false"/>
          <w:color w:val="000000"/>
          <w:sz w:val="21"/>
        </w:rPr>
        <w:t>[Filed 11/16/84, Notice 8/15/84—published 12/5/84, effective 1/9/85]</w:t>
      </w:r>
    </w:p>
    <w:p>
      <w:pPr>
        <w:spacing w:before="0" w:after="0"/>
        <w:ind w:left="120"/>
        <w:jc w:val="center"/>
      </w:pPr>
      <w:r>
        <w:rPr>
          <w:rFonts w:ascii="Times New Roman" w:hAnsi="Times New Roman"/>
          <w:b w:val="false"/>
          <w:i w:val="false"/>
          <w:color w:val="000000"/>
          <w:sz w:val="21"/>
        </w:rPr>
        <w:t>[Filed 10/2/85, Notice 8/14/85—published 10/23/85, effective 11/27/85]</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2/6/87, Notice 12/17/86—published 2/25/87, effective 4/1/87]</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11/1/89, Notice 9/20/89—published 11/29/89, effective 1/3/90]</w:t>
      </w:r>
    </w:p>
    <w:p>
      <w:pPr>
        <w:spacing w:before="0" w:after="0"/>
        <w:ind w:left="120"/>
        <w:jc w:val="center"/>
      </w:pPr>
      <w:r>
        <w:rPr>
          <w:rFonts w:ascii="Times New Roman" w:hAnsi="Times New Roman"/>
          <w:b w:val="false"/>
          <w:i w:val="false"/>
          <w:color w:val="000000"/>
          <w:sz w:val="21"/>
        </w:rPr>
        <w:t>[Filed 11/2/94, Notice 9/28/94—published 11/23/94, effective 12/28/94]</w:t>
      </w:r>
    </w:p>
    <w:p>
      <w:pPr>
        <w:spacing w:before="0" w:after="0"/>
        <w:ind w:left="120"/>
        <w:jc w:val="center"/>
      </w:pPr>
      <w:r>
        <w:rPr>
          <w:rFonts w:ascii="Times New Roman" w:hAnsi="Times New Roman"/>
          <w:b w:val="false"/>
          <w:i w:val="false"/>
          <w:color w:val="000000"/>
          <w:sz w:val="21"/>
        </w:rPr>
        <w:t>[Filed 4/17/96, Notice 3/13/96—published 5/8/96, effective 6/12/96]</w:t>
      </w:r>
    </w:p>
    <w:p>
      <w:pPr>
        <w:spacing w:before="0" w:after="0"/>
        <w:ind w:left="120"/>
        <w:jc w:val="center"/>
      </w:pPr>
      <w:r>
        <w:rPr>
          <w:rFonts w:ascii="Times New Roman" w:hAnsi="Times New Roman"/>
          <w:b w:val="false"/>
          <w:i w:val="false"/>
          <w:color w:val="000000"/>
          <w:sz w:val="21"/>
        </w:rPr>
        <w:t>[Filed 10/10/02, Notice 8/7/02—published 10/30/02, effective 12/4/02]</w:t>
      </w:r>
    </w:p>
    <w:p>
      <w:pPr>
        <w:spacing w:before="0" w:after="0"/>
        <w:ind w:left="120"/>
        <w:jc w:val="center"/>
      </w:pPr>
      <w:r>
        <w:rPr>
          <w:rFonts w:ascii="Times New Roman" w:hAnsi="Times New Roman"/>
          <w:b w:val="false"/>
          <w:i w:val="false"/>
          <w:color w:val="000000"/>
          <w:sz w:val="21"/>
        </w:rPr>
        <w:t>[Filed 9/14/05, Notice 8/3/05—published 10/12/05, effective 11/16/05]</w:t>
      </w:r>
    </w:p>
    <w:p>
      <w:pPr>
        <w:spacing w:before="0" w:after="0"/>
        <w:ind w:left="120"/>
        <w:jc w:val="center"/>
      </w:pPr>
      <w:r>
        <w:rPr>
          <w:rFonts w:ascii="Times New Roman" w:hAnsi="Times New Roman"/>
          <w:b w:val="false"/>
          <w:i w:val="false"/>
          <w:color w:val="000000"/>
          <w:sz w:val="21"/>
        </w:rPr>
        <w:t>[Filed ARC 9362B</w:t>
      </w:r>
      <w:r>
        <w:rPr>
          <w:rFonts w:ascii="Times New Roman" w:hAnsi="Times New Roman"/>
          <w:b w:val="false"/>
          <w:i w:val="false"/>
          <w:color w:val="000000"/>
          <w:sz w:val="21"/>
        </w:rPr>
        <w:t xml:space="preserve"> (Notice ARC 9290B, IAB 12/15/10)</w:t>
      </w:r>
      <w:r>
        <w:rPr>
          <w:rFonts w:ascii="Times New Roman" w:hAnsi="Times New Roman"/>
          <w:b w:val="false"/>
          <w:i w:val="false"/>
          <w:color w:val="000000"/>
          <w:sz w:val="21"/>
        </w:rPr>
        <w:t>, IAB 2/9/11, effective 3/16/11]</w:t>
      </w:r>
    </w:p>
    <w:p>
      <w:pPr>
        <w:spacing w:before="0" w:after="0"/>
        <w:ind w:left="120"/>
        <w:jc w:val="center"/>
      </w:pPr>
      <w:r>
        <w:rPr>
          <w:rFonts w:ascii="Times New Roman" w:hAnsi="Times New Roman"/>
          <w:b w:val="false"/>
          <w:i w:val="false"/>
          <w:color w:val="000000"/>
          <w:sz w:val="21"/>
        </w:rPr>
        <w:t>[Filed ARC 1986C</w:t>
      </w:r>
      <w:r>
        <w:rPr>
          <w:rFonts w:ascii="Times New Roman" w:hAnsi="Times New Roman"/>
          <w:b w:val="false"/>
          <w:i w:val="false"/>
          <w:color w:val="000000"/>
          <w:sz w:val="21"/>
        </w:rPr>
        <w:t xml:space="preserve"> (Notice ARC 1885C, IAB 2/18/15)</w:t>
      </w:r>
      <w:r>
        <w:rPr>
          <w:rFonts w:ascii="Times New Roman" w:hAnsi="Times New Roman"/>
          <w:b w:val="false"/>
          <w:i w:val="false"/>
          <w:color w:val="000000"/>
          <w:sz w:val="21"/>
        </w:rPr>
        <w:t>, IAB 5/13/15, effective 6/17/15]</w:t>
      </w:r>
    </w:p>
    <w:p>
      <w:pPr>
        <w:pBdr>
          <w:bottom w:space="2"/>
        </w:pBdr>
        <w:spacing w:before="0" w:after="0"/>
        <w:ind w:left="120"/>
        <w:jc w:val="both"/>
      </w:pPr>
      <w:r>
        <w:rPr>
          <w:rFonts w:ascii="Times New Roman" w:hAnsi="Times New Roman"/>
          <w:b w:val="false"/>
          <w:i w:val="false"/>
          <w:color w:val="000000"/>
          <w:sz w:val="22"/>
        </w:rPr>
        <w:t xml:space="preserve">Effective date of subrule 2.1(2) delayed until the expiration of 45 calendar days into the 1986 Session of the General Assembly pursuant to Iowa Code section </w:t>
      </w:r>
      <w:hyperlink r:id="rId9">
        <w:r>
          <w:rPr>
            <w:rStyle w:val="Hyperlink"/>
            <w:rFonts w:ascii="Times New Roman" w:hAnsi="Times New Roman"/>
            <w:b w:val="false"/>
            <w:i w:val="false"/>
            <w:color w:val="000000"/>
            <w:sz w:val="22"/>
          </w:rPr>
          <w:t>17A.8(9)</w:t>
        </w:r>
      </w:hyperlink>
      <w:r>
        <w:rPr>
          <w:rFonts w:ascii="Times New Roman" w:hAnsi="Times New Roman"/>
          <w:b w:val="false"/>
          <w:i w:val="false"/>
          <w:color w:val="000000"/>
          <w:sz w:val="22"/>
        </w:rPr>
        <w:t>. The 1986 General Assembly took no formal action; therefore, subrule 2.1(2) is effective 2/28/86.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mutcd.fhwa.dot.gov" Type="http://schemas.openxmlformats.org/officeDocument/2006/relationships/hyperlink" Id="rId5"/>
    <Relationship TargetMode="External" Target="https://www.legis.iowa.gov/docs/ico/chapter/321.249.pdf" Type="http://schemas.openxmlformats.org/officeDocument/2006/relationships/hyperlink" Id="rId6"/>
    <Relationship TargetMode="External" Target="https://www.legis.iowa.gov/docs/ico/chapter/321.252.pdf" Type="http://schemas.openxmlformats.org/officeDocument/2006/relationships/hyperlink" Id="rId7"/>
    <Relationship TargetMode="External" Target="https://www.legis.iowa.gov/docs/iac/chapter/761.130.pdf" Type="http://schemas.openxmlformats.org/officeDocument/2006/relationships/hyperlink" Id="rId8"/>
    <Relationship TargetMode="External" Target="https://www.legis.iowa.gov/docs/ico/chapter/17A.8.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