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CONTESTED CASES</w:t>
      </w:r>
    </w:p>
    <w:p>
      <w:pPr>
        <w:spacing w:before="0" w:after="0"/>
        <w:ind w:left="120"/>
        <w:jc w:val="center"/>
      </w:pPr>
      <w:r>
        <w:rPr>
          <w:rFonts w:ascii="Times New Roman" w:hAnsi="Times New Roman"/>
          <w:b w:val="false"/>
          <w:i w:val="false"/>
          <w:color w:val="000000"/>
          <w:sz w:val="14"/>
        </w:rPr>
        <w:t>[Prior to 6/3/87, Transportation Department[820]—(01,B)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761—13.1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are hereby adopted.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transportation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761—13.2</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provides the minimum procedural requirements for department involvement in contested cases under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val="false"/>
          <w:color w:val="000000"/>
          <w:sz w:val="22"/>
        </w:rPr>
        <w:t>Rules that apply to a particular type of contested case take precedence over this chapter. If there are no other rules applicable to a particular type of contested case, it will be conducted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761—13.3</w:t>
      </w:r>
      <w:r>
        <w:rPr>
          <w:rFonts w:ascii="Times New Roman" w:hAnsi="Times New Roman"/>
          <w:b/>
          <w:i w:val="false"/>
          <w:color w:val="000000"/>
          <w:sz w:val="22"/>
        </w:rPr>
        <w:t xml:space="preserve">(17A) </w:t>
      </w:r>
      <w:r>
        <w:rPr>
          <w:rFonts w:ascii="Times New Roman" w:hAnsi="Times New Roman"/>
          <w:b/>
          <w:i w:val="false"/>
          <w:color w:val="000000"/>
          <w:sz w:val="22"/>
        </w:rPr>
        <w:t xml:space="preserve">Submission of request for informal settlement or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val="false"/>
          <w:color w:val="000000"/>
          <w:sz w:val="22"/>
        </w:rPr>
        <w:t>A person who is aggrieved by an action of the department and who is entitled to a contested case hearing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prohibited by statute, request an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Initiate a contested case by submitting a request for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both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val="false"/>
          <w:color w:val="000000"/>
          <w:sz w:val="22"/>
        </w:rPr>
        <w:t>A request for an informal settlement or a contested case hearing shall be submitted in writing to the director of the bureau or division of the department that administers the matter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val="false"/>
          <w:color w:val="000000"/>
          <w:sz w:val="22"/>
        </w:rPr>
        <w:t>The request shall include complete names, mailing addresses to be used for communications with the department, and telephone numbers for all persons involved and any attorneys representing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w:t>
      </w:r>
      <w:r>
        <w:rPr>
          <w:rFonts w:ascii="Times New Roman" w:hAnsi="Times New Roman"/>
          <w:b w:val="false"/>
          <w:i w:val="false"/>
          <w:color w:val="000000"/>
          <w:sz w:val="22"/>
        </w:rPr>
        <w:t> </w:t>
      </w:r>
      <w:r>
        <w:rPr>
          <w:rFonts w:ascii="Times New Roman" w:hAnsi="Times New Roman"/>
          <w:b w:val="false"/>
          <w:i w:val="false"/>
          <w:color w:val="000000"/>
          <w:sz w:val="22"/>
        </w:rPr>
        <w:t>A statute or rule may provide for submission of requests within a specified time period. A request shall be considered timely submitted if it is postmarked or delivered to the appropriate bureau or division of the department within the time period specified. Timely submission of a request shall be jurisdictional.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761—13.4</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Informal settlement.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val="false"/>
          <w:color w:val="000000"/>
          <w:sz w:val="22"/>
        </w:rPr>
        <w:t>An informal settlement may be handled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val="false"/>
          <w:color w:val="000000"/>
          <w:sz w:val="22"/>
        </w:rPr>
        <w:t>If an informal settlement cannot be reached within a reasonable period of time, the department will notify the person in writing that there has been a failure to reach an informal settlement, that the department’s action or decision is sustained, and that the person may request a contested case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761—13.5</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initiate a contested case proceeding. Prior to initiating the contested case proceeding, the department, unless disallowed by statute, may attempt to settle the matter informally.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a contested case hearing, a written decision will be issued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be represented by legal assistants, paralegals, or designated attorney general staff at contested case hearings. Any such person is under the supervision of the attorney general transportation section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designate staff not under the supervision of the attorney general’s office to appear at contested case hearings as witnesses. Staff so designated may appear to testify about matters including but not limited to clarifying the record, providing additional information, providing justification for the department’s action, or answering questions of the appellants and 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submit certified copies of records admitted pursuant to Iowa Code section </w:t>
      </w:r>
      <w:hyperlink r:id="rId7">
        <w:r>
          <w:rPr>
            <w:rStyle w:val="Hyperlink"/>
            <w:rFonts w:ascii="Times New Roman" w:hAnsi="Times New Roman"/>
            <w:b w:val="false"/>
            <w:i w:val="false"/>
            <w:color w:val="000000"/>
            <w:sz w:val="22"/>
          </w:rPr>
          <w:t>321.10</w:t>
        </w:r>
      </w:hyperlink>
      <w:r>
        <w:rPr>
          <w:rFonts w:ascii="Times New Roman" w:hAnsi="Times New Roman"/>
          <w:b w:val="false"/>
          <w:i w:val="false"/>
          <w:color w:val="000000"/>
          <w:sz w:val="22"/>
        </w:rPr>
        <w:t xml:space="preserve"> in lieu of either legal representation or participation by a department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w:t>
      </w:r>
      <w:r>
        <w:rPr>
          <w:rFonts w:ascii="Times New Roman" w:hAnsi="Times New Roman"/>
          <w:b w:val="false"/>
          <w:i w:val="false"/>
          <w:color w:val="000000"/>
          <w:sz w:val="22"/>
        </w:rPr>
        <w:t> </w:t>
      </w:r>
      <w:r>
        <w:rPr>
          <w:rFonts w:ascii="Times New Roman" w:hAnsi="Times New Roman"/>
          <w:b w:val="false"/>
          <w:i/>
          <w:color w:val="000000"/>
          <w:sz w:val="22"/>
        </w:rPr>
        <w:t xml:space="preserve">Appeal of contested case decision.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decision by a presiding officer shall become the final decision of the department and is binding on the department and the party whose legal rights, duties and privileges are being determined unless either appeals the decision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additional evidence is to be presented on appeal that is decided on the basis of the record made before the presiding officer in the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appeal is to include a statement of the specific issues presented for review and the precise ruling or relief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of a presiding officer’s decision is to be submitted in writing to the director of the bureau or division that administers the matter being contested. The appeal is deemed timely submitted if it is postmarked or delivered to the director of the appropriate bureau or division of the department within 20 days after the date of the presiding officer’s decision unless otherwise provided in rule or statute.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director of the administering bureau or division will forward the appeal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timely appeal a presiding officer’s decision is considered a failure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director may make a decision affirming, modifying or reversing the presiding officer’s decision, or may remand the case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decision of the director is the final decision of the department and constitutes final agency action for purposes of judicial review. No further steps are necessary to exhaust administrative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761—13.6</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 for review. </w:t>
      </w:r>
      <w:r>
        <w:rPr>
          <w:rFonts w:ascii="Times New Roman" w:hAnsi="Times New Roman"/>
          <w:b w:val="false"/>
          <w:i w:val="false"/>
          <w:color w:val="000000"/>
          <w:sz w:val="22"/>
        </w:rPr>
        <w:t xml:space="preserve">The director may, on the director’s own motion, review the presiding officer’s decision. The motion for review is subject to the same time limits as an appeal from a presiding officer’s decision. If there is a motion for review, paragraphs </w:t>
      </w:r>
      <w:hyperlink r:id="rId8">
        <w:r>
          <w:rPr>
            <w:rStyle w:val="Hyperlink"/>
            <w:rFonts w:ascii="Times New Roman" w:hAnsi="Times New Roman"/>
            <w:b w:val="false"/>
            <w:i w:val="false"/>
            <w:color w:val="000000"/>
            <w:sz w:val="22"/>
          </w:rPr>
          <w:t>13.5(3)</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761—13.7</w:t>
      </w:r>
      <w:r>
        <w:rPr>
          <w:rFonts w:ascii="Times New Roman" w:hAnsi="Times New Roman"/>
          <w:b/>
          <w:i w:val="false"/>
          <w:color w:val="000000"/>
          <w:sz w:val="22"/>
        </w:rPr>
        <w:t xml:space="preserve">(17A) </w:t>
      </w:r>
      <w:r>
        <w:rPr>
          <w:rFonts w:ascii="Times New Roman" w:hAnsi="Times New Roman"/>
          <w:b/>
          <w:i w:val="false"/>
          <w:color w:val="000000"/>
          <w:sz w:val="22"/>
        </w:rPr>
        <w:t xml:space="preserve">Rehearings. </w:t>
      </w:r>
      <w:r>
        <w:rPr>
          <w:rFonts w:ascii="Times New Roman" w:hAnsi="Times New Roman"/>
          <w:b w:val="false"/>
          <w:i w:val="false"/>
          <w:color w:val="000000"/>
          <w:sz w:val="22"/>
        </w:rPr>
        <w:t xml:space="preserve">An application for rehearing of a final decision under Iowa Code section </w:t>
      </w:r>
      <w:hyperlink r:id="rId9">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 xml:space="preserve"> shall be filed with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761—13.8</w:t>
      </w:r>
      <w:r>
        <w:rPr>
          <w:rFonts w:ascii="Times New Roman" w:hAnsi="Times New Roman"/>
          <w:b/>
          <w:i w:val="false"/>
          <w:color w:val="000000"/>
          <w:sz w:val="22"/>
        </w:rPr>
        <w:t xml:space="preserve">(17A) </w:t>
      </w:r>
      <w:r>
        <w:rPr>
          <w:rFonts w:ascii="Times New Roman" w:hAnsi="Times New Roman"/>
          <w:b/>
          <w:i w:val="false"/>
          <w:color w:val="000000"/>
          <w:sz w:val="22"/>
        </w:rPr>
        <w:t xml:space="preserve">Maintenance of records. </w:t>
      </w:r>
      <w:r>
        <w:rPr>
          <w:rFonts w:ascii="Times New Roman" w:hAnsi="Times New Roman"/>
          <w:b w:val="false"/>
          <w:i w:val="false"/>
          <w:color w:val="000000"/>
          <w:sz w:val="22"/>
        </w:rPr>
        <w:t>The department shall retain for at least five years from the date of the final decision copies of the record made before the presiding officer, the decision received from the presiding officer, the decision issued by the director, and related correspondence.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761—13.9</w:t>
      </w:r>
      <w:r>
        <w:rPr>
          <w:rFonts w:ascii="Times New Roman" w:hAnsi="Times New Roman"/>
          <w:b/>
          <w:i w:val="false"/>
          <w:color w:val="000000"/>
          <w:sz w:val="22"/>
        </w:rPr>
        <w:t xml:space="preserve">(17A) </w:t>
      </w:r>
      <w:r>
        <w:rPr>
          <w:rFonts w:ascii="Times New Roman" w:hAnsi="Times New Roman"/>
          <w:b/>
          <w:i w:val="false"/>
          <w:color w:val="000000"/>
          <w:sz w:val="22"/>
        </w:rPr>
        <w:t xml:space="preserve">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val="false"/>
          <w:color w:val="000000"/>
          <w:sz w:val="22"/>
        </w:rPr>
        <w:t>Each party to a contested case is to keep the department informed of the party’s current address and telephone number; the name, address and telephone number of the party’s attorney, if any; and the mailing address to be used for communications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val="false"/>
          <w:color w:val="000000"/>
          <w:sz w:val="22"/>
        </w:rPr>
        <w:t>Mailed notices, communications and decisions regarding the contested case are to be sent by first class or certified mail to the latest address that each party has provided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10">
        <w:r>
          <w:rPr>
            <w:rStyle w:val="Hyperlink"/>
            <w:rFonts w:ascii="Times New Roman" w:hAnsi="Times New Roman"/>
            <w:b w:val="false"/>
            <w:i w:val="false"/>
            <w:color w:val="000000"/>
            <w:sz w:val="22"/>
          </w:rPr>
          <w:t>13.9(2)</w:t>
        </w:r>
      </w:hyperlink>
      <w:r>
        <w:rPr>
          <w:rFonts w:ascii="Times New Roman" w:hAnsi="Times New Roman"/>
          <w:b w:val="false"/>
          <w:i w:val="false"/>
          <w:color w:val="000000"/>
          <w:sz w:val="22"/>
        </w:rPr>
        <w:t>, the department of inspections, appeals, and licensing may communicate with the party or the party’s attorney by email and may file and serve documents through the division of administrative hearings’ administrative electronic management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761—13.10</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w:t>
      </w:r>
      <w:r>
        <w:rPr>
          <w:rFonts w:ascii="Times New Roman" w:hAnsi="Times New Roman"/>
          <w:b w:val="false"/>
          <w:i w:val="false"/>
          <w:color w:val="000000"/>
          <w:sz w:val="22"/>
        </w:rPr>
        <w:t> </w:t>
      </w:r>
      <w:r>
        <w:rPr>
          <w:rFonts w:ascii="Times New Roman" w:hAnsi="Times New Roman"/>
          <w:b w:val="false"/>
          <w:i w:val="false"/>
          <w:color w:val="000000"/>
          <w:sz w:val="22"/>
        </w:rPr>
        <w:t>A party may move for default against another party that has requested the contested case proceeding and that has failed to appear after proper service is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11">
        <w:r>
          <w:rPr>
            <w:rStyle w:val="Hyperlink"/>
            <w:rFonts w:ascii="Times New Roman" w:hAnsi="Times New Roman"/>
            <w:b w:val="false"/>
            <w:i w:val="false"/>
            <w:color w:val="000000"/>
            <w:sz w:val="22"/>
          </w:rPr>
          <w:t>13.10(1)</w:t>
        </w:r>
      </w:hyperlink>
      <w:r>
        <w:rPr>
          <w:rFonts w:ascii="Times New Roman" w:hAnsi="Times New Roman"/>
          <w:b w:val="false"/>
          <w:i w:val="false"/>
          <w:color w:val="000000"/>
          <w:sz w:val="22"/>
        </w:rPr>
        <w:t xml:space="preserve">, no default may be entered against the department for failure to appear; rather, the presiding officer may either continue the matter or proceed with the hearing and render a decision in the absence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13.10(3)</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or a decision rendered on the merits after a party has failed to appear or participate in a contested case proceeding becomes final agency action unless, within 20 days after the date of the decision, either a motion to vacate is filed and served on the presiding officer and the other parties or an appeal of a decision on the merits is timely submitted in accordance with rule </w:t>
      </w:r>
      <w:hyperlink r:id="rId12">
        <w:r>
          <w:rPr>
            <w:rStyle w:val="Hyperlink"/>
            <w:rFonts w:ascii="Times New Roman" w:hAnsi="Times New Roman"/>
            <w:b w:val="false"/>
            <w:i w:val="false"/>
            <w:color w:val="000000"/>
            <w:sz w:val="22"/>
          </w:rPr>
          <w:t>761—13.5</w:t>
        </w:r>
      </w:hyperlink>
      <w:r>
        <w:rPr>
          <w:rFonts w:ascii="Times New Roman" w:hAnsi="Times New Roman"/>
          <w:b w:val="false"/>
          <w:i w:val="false"/>
          <w:color w:val="000000"/>
          <w:sz w:val="22"/>
        </w:rPr>
        <w:t>(17A). A motion to vacate is to state all facts relied upon by the moving party that establish that good cause existed for that party’s failure to appear or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13.10(5)</w:t>
      </w:r>
      <w:r>
        <w:rPr>
          <w:rFonts w:ascii="Times New Roman" w:hAnsi="Times New Roman"/>
          <w:b w:val="false"/>
          <w:i w:val="false"/>
          <w:color w:val="000000"/>
          <w:sz w:val="22"/>
        </w:rPr>
        <w:t> </w:t>
      </w:r>
      <w:r>
        <w:rPr>
          <w:rFonts w:ascii="Times New Roman" w:hAnsi="Times New Roman"/>
          <w:b w:val="false"/>
          <w:i w:val="false"/>
          <w:color w:val="000000"/>
          <w:sz w:val="22"/>
        </w:rPr>
        <w:t>Timely filed motions to vacate are to be granted only for good cause shown. The burden of proof is on the moving party. Adverse parties have ten days to respond to a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13.10(6)</w:t>
      </w:r>
      <w:r>
        <w:rPr>
          <w:rFonts w:ascii="Times New Roman" w:hAnsi="Times New Roman"/>
          <w:b w:val="false"/>
          <w:i w:val="false"/>
          <w:color w:val="000000"/>
          <w:sz w:val="22"/>
        </w:rPr>
        <w:t> </w:t>
      </w:r>
      <w:r>
        <w:rPr>
          <w:rFonts w:ascii="Times New Roman" w:hAnsi="Times New Roman"/>
          <w:b w:val="false"/>
          <w:i w:val="false"/>
          <w:color w:val="000000"/>
          <w:sz w:val="22"/>
        </w:rPr>
        <w:t>“Good cause,” for the purpose of this rule, means surprise, excusable neglect or unavoidable casualty.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in accordance with rule </w:t>
      </w:r>
      <w:hyperlink r:id="rId13">
        <w:r>
          <w:rPr>
            <w:rStyle w:val="Hyperlink"/>
            <w:rFonts w:ascii="Times New Roman" w:hAnsi="Times New Roman"/>
            <w:b w:val="false"/>
            <w:i w:val="false"/>
            <w:color w:val="000000"/>
            <w:sz w:val="22"/>
          </w:rPr>
          <w:t>761—13.5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13.10(8)</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granting a motion to vacate is subject to interlocutory appeal by the adverse party in accordance with subrule </w:t>
      </w:r>
      <w:hyperlink r:id="rId14">
        <w:r>
          <w:rPr>
            <w:rStyle w:val="Hyperlink"/>
            <w:rFonts w:ascii="Times New Roman" w:hAnsi="Times New Roman"/>
            <w:b w:val="false"/>
            <w:i w:val="false"/>
            <w:color w:val="000000"/>
            <w:sz w:val="22"/>
          </w:rPr>
          <w:t>13.5(3)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13.10(9)</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is to issue another notice of hearing and the contested case will proceed accordingly.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761—13.11</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procedures when the department is not a party.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When the department is obligated by statute to administer a controversy to which it is not a party, the following additional procedures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has an interest in a controversy and who is entitled to a contested case hearing may submit a written request to the department to resolve the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acceptable request will contain a statement of facts alleged and the relief sought by the requestor, the name and address of the persons involved and any attorneys representing them, the requestor’s telephone number, and the mailing address to be used for all communications to the requestor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13.11(3)</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contact the persons involved, either by telephone or letter, and will offer to assist the parties to reach an informal settlement of the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controversy may be settled informally by the persons involved.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controversy is settled informally, the persons involved will each notify the department by telephone and confirming letter that the controversy has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13.11(4)</w:t>
      </w: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When the department is notified by a person involved in the controversy that there has been a failure to reach an informal settlement, or when the department determines that no progress toward a settlement is being made, the department will send a written notice to the persons involved specifying that if the department is not notified of a settlement within 20 days after the notice is mailed, the department will initiate a contested case proceeding.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6">
        <w:r>
          <w:rPr>
            <w:rStyle w:val="Hyperlink"/>
            <w:rFonts w:ascii="Times New Roman" w:hAnsi="Times New Roman"/>
            <w:b w:val="false"/>
            <w:i w:val="false"/>
            <w:color w:val="000000"/>
            <w:sz w:val="22"/>
          </w:rPr>
          <w:t>10A.801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7/16/75—published 7/28/75, effective 7/16/75]</w:t>
      </w:r>
    </w:p>
    <w:p>
      <w:pPr>
        <w:spacing w:before="0" w:after="0"/>
        <w:ind w:left="120"/>
        <w:jc w:val="center"/>
      </w:pPr>
      <w:r>
        <w:rPr>
          <w:rFonts w:ascii="Times New Roman" w:hAnsi="Times New Roman"/>
          <w:b w:val="false"/>
          <w:i w:val="false"/>
          <w:color w:val="000000"/>
          <w:sz w:val="21"/>
        </w:rPr>
        <w:t>[Filed 9/11/75, Notice 7/28/75—published 9/22/75, effective 10/27/75]</w:t>
      </w:r>
    </w:p>
    <w:p>
      <w:pPr>
        <w:spacing w:before="0" w:after="0"/>
        <w:ind w:left="120"/>
        <w:jc w:val="center"/>
      </w:pPr>
      <w:r>
        <w:rPr>
          <w:rFonts w:ascii="Times New Roman" w:hAnsi="Times New Roman"/>
          <w:b w:val="false"/>
          <w:i w:val="false"/>
          <w:color w:val="000000"/>
          <w:sz w:val="21"/>
        </w:rPr>
        <w:t>[Filed 10/2/81, Notice 8/19/81—published 10/28/81, effective 12/2/81]</w:t>
      </w:r>
    </w:p>
    <w:p>
      <w:pPr>
        <w:spacing w:before="0" w:after="0"/>
        <w:ind w:left="120"/>
        <w:jc w:val="center"/>
      </w:pPr>
      <w:r>
        <w:rPr>
          <w:rFonts w:ascii="Times New Roman" w:hAnsi="Times New Roman"/>
          <w:b w:val="false"/>
          <w:i w:val="false"/>
          <w:color w:val="000000"/>
          <w:sz w:val="21"/>
        </w:rPr>
        <w:t>[Filed emergency 6/22/82—published 7/21/82, effective 7/1/82]</w:t>
      </w:r>
    </w:p>
    <w:p>
      <w:pPr>
        <w:spacing w:before="0" w:after="0"/>
        <w:ind w:left="120"/>
        <w:jc w:val="center"/>
      </w:pPr>
      <w:r>
        <w:rPr>
          <w:rFonts w:ascii="Times New Roman" w:hAnsi="Times New Roman"/>
          <w:b w:val="false"/>
          <w:i w:val="false"/>
          <w:color w:val="000000"/>
          <w:sz w:val="21"/>
        </w:rPr>
        <w:t>[Filed 9/2/82, Notice 7/21/82—published 9/29/82, effective 11/3/82]</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4/8/99, Notice 2/10/99—published 5/5/99, effective 7/1/99]</w:t>
      </w:r>
    </w:p>
    <w:p>
      <w:pPr>
        <w:spacing w:before="0" w:after="0"/>
        <w:ind w:left="120"/>
        <w:jc w:val="center"/>
      </w:pPr>
      <w:r>
        <w:rPr>
          <w:rFonts w:ascii="Times New Roman" w:hAnsi="Times New Roman"/>
          <w:b w:val="false"/>
          <w:i w:val="false"/>
          <w:color w:val="000000"/>
          <w:sz w:val="21"/>
        </w:rPr>
        <w:t>[Filed ARC 1846C</w:t>
      </w:r>
      <w:r>
        <w:rPr>
          <w:rFonts w:ascii="Times New Roman" w:hAnsi="Times New Roman"/>
          <w:b w:val="false"/>
          <w:i w:val="false"/>
          <w:color w:val="000000"/>
          <w:sz w:val="21"/>
        </w:rPr>
        <w:t xml:space="preserve"> (Notice ARC 1736C, IAB 11/26/14)</w:t>
      </w:r>
      <w:r>
        <w:rPr>
          <w:rFonts w:ascii="Times New Roman" w:hAnsi="Times New Roman"/>
          <w:b w:val="false"/>
          <w:i w:val="false"/>
          <w:color w:val="000000"/>
          <w:sz w:val="21"/>
        </w:rPr>
        <w:t>, IAB 2/4/15, effective 3/11/15]</w:t>
      </w:r>
    </w:p>
    <w:p>
      <w:pPr>
        <w:spacing w:before="0" w:after="0"/>
        <w:ind w:left="120"/>
        <w:jc w:val="center"/>
      </w:pPr>
      <w:r>
        <w:rPr>
          <w:rFonts w:ascii="Times New Roman" w:hAnsi="Times New Roman"/>
          <w:b w:val="false"/>
          <w:i w:val="false"/>
          <w:color w:val="000000"/>
          <w:sz w:val="21"/>
        </w:rPr>
        <w:t>[Filed ARC 6614C</w:t>
      </w:r>
      <w:r>
        <w:rPr>
          <w:rFonts w:ascii="Times New Roman" w:hAnsi="Times New Roman"/>
          <w:b w:val="false"/>
          <w:i w:val="false"/>
          <w:color w:val="000000"/>
          <w:sz w:val="21"/>
        </w:rPr>
        <w:t xml:space="preserve"> (Notice ARC 6447C, IAB 8/10/22)</w:t>
      </w:r>
      <w:r>
        <w:rPr>
          <w:rFonts w:ascii="Times New Roman" w:hAnsi="Times New Roman"/>
          <w:b w:val="false"/>
          <w:i w:val="false"/>
          <w:color w:val="000000"/>
          <w:sz w:val="21"/>
        </w:rPr>
        <w:t>, IAB 11/2/22, effective 12/7/22]</w:t>
      </w:r>
    </w:p>
    <w:p>
      <w:pPr>
        <w:spacing w:before="0" w:after="0"/>
        <w:ind w:left="120"/>
        <w:jc w:val="center"/>
      </w:pPr>
      <w:r>
        <w:rPr>
          <w:rFonts w:ascii="Times New Roman" w:hAnsi="Times New Roman"/>
          <w:b w:val="false"/>
          <w:i w:val="false"/>
          <w:color w:val="000000"/>
          <w:sz w:val="21"/>
        </w:rPr>
        <w:t>[Filed ARC 8779C</w:t>
      </w:r>
      <w:r>
        <w:rPr>
          <w:rFonts w:ascii="Times New Roman" w:hAnsi="Times New Roman"/>
          <w:b w:val="false"/>
          <w:i w:val="false"/>
          <w:color w:val="000000"/>
          <w:sz w:val="21"/>
        </w:rPr>
        <w:t xml:space="preserve"> (Notice ARC 8245C, IAB 10/16/24)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321.10.pdf" Type="http://schemas.openxmlformats.org/officeDocument/2006/relationships/hyperlink" Id="rId7"/>
    <Relationship TargetMode="External" Target="https://www.legis.iowa.gov/docs/iac/rule/761.13.5.pdf" Type="http://schemas.openxmlformats.org/officeDocument/2006/relationships/hyperlink" Id="rId8"/>
    <Relationship TargetMode="External" Target="https://www.legis.iowa.gov/docs/ico/chapter/17A.16.pdf" Type="http://schemas.openxmlformats.org/officeDocument/2006/relationships/hyperlink" Id="rId9"/>
    <Relationship TargetMode="External" Target="https://www.legis.iowa.gov/docs/iac/rule/761.13.9.pdf" Type="http://schemas.openxmlformats.org/officeDocument/2006/relationships/hyperlink" Id="rId10"/>
    <Relationship TargetMode="External" Target="https://www.legis.iowa.gov/docs/iac/rule/761.13.10.pdf" Type="http://schemas.openxmlformats.org/officeDocument/2006/relationships/hyperlink" Id="rId11"/>
    <Relationship TargetMode="External" Target="https://www.legis.iowa.gov/docs/iac/rule/761.13.5.pdf" Type="http://schemas.openxmlformats.org/officeDocument/2006/relationships/hyperlink" Id="rId12"/>
    <Relationship TargetMode="External" Target="https://www.legis.iowa.gov/docs/iac/rule/761.13.5.pdf" Type="http://schemas.openxmlformats.org/officeDocument/2006/relationships/hyperlink" Id="rId13"/>
    <Relationship TargetMode="External" Target="https://www.legis.iowa.gov/docs/iac/rule/761.13.5.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0A.801.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