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 xml:space="preserve">[Prior to 11/8/06, see rule </w:t>
      </w:r>
      <w:hyperlink r:id="rId4">
        <w:r>
          <w:rPr>
            <w:rStyle w:val="Hyperlink"/>
            <w:rFonts w:ascii="Times New Roman" w:hAnsi="Times New Roman"/>
            <w:b w:val="false"/>
            <w:i w:val="false"/>
            <w:color w:val="000000"/>
            <w:sz w:val="14"/>
          </w:rPr>
          <w:t>761—10.4</w:t>
        </w:r>
      </w:hyperlink>
      <w:r>
        <w:rPr>
          <w:rFonts w:ascii="Times New Roman" w:hAnsi="Times New Roman"/>
          <w:b w:val="false"/>
          <w:i w:val="false"/>
          <w:color w:val="000000"/>
          <w:sz w:val="14"/>
        </w:rPr>
        <w:t>(17A)]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761—12.1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“Declaratory order” </w:t>
      </w:r>
      <w:r>
        <w:rPr>
          <w:rFonts w:ascii="Times New Roman" w:hAnsi="Times New Roman"/>
          <w:b w:val="false"/>
          <w:i w:val="false"/>
          <w:color w:val="000000"/>
          <w:sz w:val="22"/>
        </w:rPr>
        <w:t>means the department’s interpretation of a statute, rule or order as applied to specified circumstances. A declaratory order is issued in response to a petition for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 for declaratory order” </w:t>
      </w:r>
      <w:r>
        <w:rPr>
          <w:rFonts w:ascii="Times New Roman" w:hAnsi="Times New Roman"/>
          <w:b w:val="false"/>
          <w:i w:val="false"/>
          <w:color w:val="000000"/>
          <w:sz w:val="22"/>
        </w:rPr>
        <w:t>means a formal request from a person or agency to the department asking how the department will apply a statute, rule or order based on a specific set of facts contained in the petition. The purpose of the petition is to seek binding advice from the department, not to challenge a decision that the department has already made.</w:t>
      </w:r>
    </w:p>
    <w:p>
      <w:pPr>
        <w:spacing w:before="0" w:after="0"/>
        <w:ind w:left="120"/>
        <w:jc w:val="both"/>
      </w:pPr>
      <w:r>
        <w:rPr>
          <w:rFonts w:ascii="Times New Roman" w:hAnsi="Times New Roman"/>
          <w:b/>
          <w:i w:val="false"/>
          <w:color w:val="000000"/>
          <w:sz w:val="22"/>
        </w:rPr>
        <w:t>761—12.2</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Any person or agency may file with the department a petition for declaratory order. The subject matter of the petition must be within the primary jurisdiction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must be submitted to the rules administrator either by mail to Rules Administrator, Government and Community Relations, Iowa Department of Transportation, 800 Lincoln Way, Ames, Iowa 50010; or by email to the rules administrator’s email address listed on the department’s website at </w:t>
      </w:r>
      <w:hyperlink r:id="rId6">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IOWA DEPARTMENT OF TRANSPORTATION</w:t>
            </w:r>
          </w:p>
          <w:p>
            <w:pPr>
              <w:spacing w:before="0" w:after="0"/>
              <w:ind w:left="160"/>
              <w:jc w:val="center"/>
            </w:pPr>
            <w:r>
              <w:rPr>
                <w:rFonts w:ascii="Times New Roman" w:hAnsi="Times New Roman"/>
                <w:b w:val="false"/>
                <w:i w:val="false"/>
                <w:color w:val="000000"/>
                <w:sz w:val="16"/>
              </w:rPr>
              <w:t>800 Lincoln Way, Ames, Iowa 50010</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PETITION BY (insert petitioner’s name)</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DECLARATORY ORDER ON</w:t>
            </w:r>
          </w:p>
          <w:p>
            <w:pPr>
              <w:spacing w:before="0" w:after="0"/>
              <w:ind w:left="160"/>
              <w:jc w:val="left"/>
            </w:pPr>
            <w:r>
              <w:rPr>
                <w:rFonts w:ascii="Times New Roman" w:hAnsi="Times New Roman"/>
                <w:b w:val="false"/>
                <w:i w:val="false"/>
                <w:color w:val="000000"/>
                <w:sz w:val="16"/>
              </w:rPr>
              <w:t>(insert number of statute, rule, etc.</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and brief description of subject matter)</w:t>
            </w:r>
          </w:p>
          <w:p>
            <w:pPr>
              <w:spacing w:before="0" w:after="0"/>
              <w:ind w:left="160"/>
              <w:jc w:val="left"/>
            </w:pPr>
            <w:r>
              <w:rPr>
                <w:rFonts w:ascii="Times New Roman" w:hAnsi="Times New Roman"/>
                <w:b w:val="false"/>
                <w:i w:val="false"/>
                <w:color w:val="000000"/>
                <w:sz w:val="16"/>
              </w:rPr>
              <w:t> </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 xml:space="preserve">DOCKET NO.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PETITION FOR DECLARATORY</w:t>
            </w:r>
          </w:p>
          <w:p>
            <w:pPr>
              <w:spacing w:before="0" w:after="0"/>
              <w:ind w:left="160"/>
              <w:jc w:val="center"/>
            </w:pPr>
            <w:r>
              <w:rPr>
                <w:rFonts w:ascii="Times New Roman" w:hAnsi="Times New Roman"/>
                <w:b w:val="false"/>
                <w:i w:val="false"/>
                <w:color w:val="000000"/>
                <w:sz w:val="16"/>
              </w:rPr>
              <w:t>ORDER</w:t>
            </w:r>
          </w:p>
          <w:p>
            <w:pPr>
              <w:spacing w:before="0" w:after="0"/>
              <w:ind w:left="16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(In separate numbered paragraphs, the petition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exact words, passages, sentences or paragraphs of statutes, rules,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which are the subject of the inquiry.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clear, concise and complete statement of all relevant facts for which the order is requested.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uncertainties or conflicting interpretations which arise when the cited statutes, rules,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are applied to the facts.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(Optional) The interpretation urged based upon the facts set forth.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reasons for the petition and a full disclosure of the petitioner’s interest.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Whether the petitioner is currently a party to a rule-making, contested case or judicial proceeding involving the controversy or uncertainty.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names and addresses, when known, of other persons who may be affected by the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if applicable, petitioner’s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If applicable, the petition must also include the name, address, and telephone number of the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The date of receipt of the petition is the day it reaches the department’s rules administrator. The administrator shall promptly send an acknowledgment of receipt to the petitioner or, if applicable, petitioner’s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2231C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2889C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4492C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761—12.3</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Within 15 days after receipt of a petition for declaratory order, the department shall provide copies of the acknowledgment of receipt and copies of the petition to all persons to whom notice of the petition is required by any provision of law. The department may also give notice to any other persons deemed appropriate.</w:t>
      </w:r>
    </w:p>
    <w:p>
      <w:pPr>
        <w:spacing w:before="0" w:after="0"/>
        <w:ind w:left="120"/>
        <w:jc w:val="both"/>
      </w:pPr>
      <w:r>
        <w:rPr>
          <w:rFonts w:ascii="Times New Roman" w:hAnsi="Times New Roman"/>
          <w:b/>
          <w:i w:val="false"/>
          <w:color w:val="000000"/>
          <w:sz w:val="22"/>
        </w:rPr>
        <w:t>761—12.4</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A declaratory order or an order declining to issue a declaratory order shall be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The director shall not issue a declaratory order that would substantially prejudice the rights of a person who would be a necessary party and who does not consent in writing to the determination of the matter by a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The director may issue an order declining to issue a declaratory order on some or all of the questions raised in the petition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in the petition are also presented in a current rule-making,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in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questions posed or facts presented in the petition are unclear, vague, incomplete, overbroad, insufficient, or otherwise inappropriate as a basis upon which to issue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 declaratory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department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or filed a similar petition and whose position on the questions presented may fairly be presumed to be adverse to that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department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If the director issues an order declining to issue a declaratory order, the order must indicate the specific grounds for declining to issue a declaratory order and constitutes final agency action on the petition.</w:t>
      </w:r>
    </w:p>
    <w:p>
      <w:pPr>
        <w:spacing w:before="210" w:after="0"/>
        <w:ind w:left="120"/>
        <w:jc w:val="both"/>
      </w:pPr>
      <w:r>
        <w:rPr>
          <w:rFonts w:ascii="Times New Roman" w:hAnsi="Times New Roman"/>
          <w:b/>
          <w:i w:val="false"/>
          <w:color w:val="000000"/>
          <w:sz w:val="22"/>
        </w:rPr>
        <w:t>761—12.5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and the petitioner and is applicable only in circumstances where the relevant facts and the law involved are indistinguishable from those on which the order was based. As to all other persons, a declaratory order serves only as precedent and is not binding on the department.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2231C</w:t>
      </w:r>
      <w:r>
        <w:rPr>
          <w:rFonts w:ascii="Times New Roman" w:hAnsi="Times New Roman"/>
          <w:b w:val="false"/>
          <w:i w:val="false"/>
          <w:color w:val="000000"/>
          <w:sz w:val="21"/>
        </w:rPr>
        <w:t xml:space="preserve"> (Notice ARC 2117C,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4492C</w:t>
      </w:r>
      <w:r>
        <w:rPr>
          <w:rFonts w:ascii="Times New Roman" w:hAnsi="Times New Roman"/>
          <w:b w:val="false"/>
          <w:i w:val="false"/>
          <w:color w:val="000000"/>
          <w:sz w:val="21"/>
        </w:rPr>
        <w:t xml:space="preserve"> (Notice ARC 4325C, IAB 3/13/19)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[Editorial change: IAC Supplement 7/28/21]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10.4.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iowadot.gov/administrativerules" Type="http://schemas.openxmlformats.org/officeDocument/2006/relationships/hyperlink" Id="rId6"/>
    <Relationship TargetMode="External" Target="https://www.legis.iowa.gov/docs/ico/chapter/17A.9.pdf" Type="http://schemas.openxmlformats.org/officeDocument/2006/relationships/hyperlink" Id="rId7"/>
    <Relationship TargetMode="External" Target="https://www.legis.iowa.gov/docs/ico/chapter/17A.1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