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TOURIST-ORIENTED DIRECTIONAL SIGNING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761—119.1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“At-grade intersection,” </w:t>
      </w:r>
      <w:r>
        <w:rPr>
          <w:rFonts w:ascii="Times New Roman" w:hAnsi="Times New Roman"/>
          <w:b w:val="false"/>
          <w:i w:val="false"/>
          <w:color w:val="000000"/>
          <w:sz w:val="22"/>
        </w:rPr>
        <w:t>for the purpose of this chapter, means an intersection of a primary highway and a secondary roadway, municipal street, or other primary highway, in which traffic may pass through the intersection at the same grade level as the intersecting roadway, or turn directly onto the intersecting roadway without the use of a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“Destination,” </w:t>
      </w:r>
      <w:r>
        <w:rPr>
          <w:rFonts w:ascii="Times New Roman" w:hAnsi="Times New Roman"/>
          <w:b w:val="false"/>
          <w:i w:val="false"/>
          <w:color w:val="000000"/>
          <w:sz w:val="22"/>
        </w:rPr>
        <w:t xml:space="preserve">for the purpose of this chapter, means a business, service, activity, or site that meets the program requirements established in rule </w:t>
      </w:r>
      <w:hyperlink r:id="rId5">
        <w:r>
          <w:rPr>
            <w:rStyle w:val="Hyperlink"/>
            <w:rFonts w:ascii="Times New Roman" w:hAnsi="Times New Roman"/>
            <w:b w:val="false"/>
            <w:i w:val="false"/>
            <w:color w:val="000000"/>
            <w:sz w:val="22"/>
          </w:rPr>
          <w:t>761—119.3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highway,” </w:t>
      </w:r>
      <w:r>
        <w:rPr>
          <w:rFonts w:ascii="Times New Roman" w:hAnsi="Times New Roman"/>
          <w:b w:val="false"/>
          <w:i w:val="false"/>
          <w:color w:val="000000"/>
          <w:sz w:val="22"/>
        </w:rPr>
        <w:t xml:space="preserve">for the purpose of this chapter, means those roads and streets both inside and outside the boundaries of municipalities that are under department jurisdiction but does not include an interstate highway or a freeway primary highway as defined in Iowa Code section </w:t>
      </w:r>
      <w:hyperlink r:id="rId6">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“Tourist-oriented directional signing” </w:t>
      </w:r>
      <w:r>
        <w:rPr>
          <w:rFonts w:ascii="Times New Roman" w:hAnsi="Times New Roman"/>
          <w:b w:val="false"/>
          <w:i w:val="false"/>
          <w:color w:val="000000"/>
          <w:sz w:val="22"/>
        </w:rPr>
        <w:t>means a system of guide signs with one or more sign panels that display the identification of and directional information for an eligible destination.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761—119.2</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119.2(1)</w:t>
      </w:r>
      <w:r>
        <w:rPr>
          <w:rFonts w:ascii="Times New Roman" w:hAnsi="Times New Roman"/>
          <w:b w:val="false"/>
          <w:i w:val="false"/>
          <w:color w:val="000000"/>
          <w:sz w:val="22"/>
        </w:rPr>
        <w:t> </w:t>
      </w:r>
      <w:r>
        <w:rPr>
          <w:rFonts w:ascii="Times New Roman" w:hAnsi="Times New Roman"/>
          <w:b w:val="false"/>
          <w:i/>
          <w:color w:val="000000"/>
          <w:sz w:val="22"/>
        </w:rPr>
        <w:t xml:space="preserve">Conformance to MUTCD. </w:t>
      </w:r>
      <w:r>
        <w:rPr>
          <w:rFonts w:ascii="Times New Roman" w:hAnsi="Times New Roman"/>
          <w:b w:val="false"/>
          <w:i w:val="false"/>
          <w:color w:val="000000"/>
          <w:sz w:val="22"/>
        </w:rPr>
        <w:t xml:space="preserve">The department administers the tourist-oriented directional signing program in conformance with the “Manual on Uniform Traffic Control Devices” (MUTCD), as adopted in rule </w:t>
      </w:r>
      <w:hyperlink r:id="rId7">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119.2(2)</w:t>
      </w:r>
      <w:r>
        <w:rPr>
          <w:rFonts w:ascii="Times New Roman" w:hAnsi="Times New Roman"/>
          <w:b w:val="false"/>
          <w:i w:val="false"/>
          <w:color w:val="000000"/>
          <w:sz w:val="22"/>
        </w:rPr>
        <w:t> </w:t>
      </w:r>
      <w:r>
        <w:rPr>
          <w:rFonts w:ascii="Times New Roman" w:hAnsi="Times New Roman"/>
          <w:b w:val="false"/>
          <w:i/>
          <w:color w:val="000000"/>
          <w:sz w:val="22"/>
        </w:rPr>
        <w:t xml:space="preserve">Spacing and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Tourist-oriented directional signing may be installed only when sufficient space is available. The determination of whether sufficient space is available is the responsibility of the department in accordance with the MUTCD and department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Tourist-oriented directional signing may be installed only in advance of at-grade intersections where the motorist leaves the primary highway system to travel to the destination. Tourist-oriented directional signs may also be placed on a higher-classified highway to direct motorists onto a lower-classified highway, or on a greater-traveled highway to direct motorists onto a lesser-traveled highway, provided the signs are placed in advance of an at-grade intersection.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Tourist-oriented directional signing is limited to the rural areas and towns that are located outside of any urban areas established by the U.S. Census Bureau for incorporated municipalities with a population that meets or exceeds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119.2(3)</w:t>
      </w:r>
      <w:r>
        <w:rPr>
          <w:rFonts w:ascii="Times New Roman" w:hAnsi="Times New Roman"/>
          <w:b w:val="false"/>
          <w:i w:val="false"/>
          <w:color w:val="000000"/>
          <w:sz w:val="22"/>
        </w:rPr>
        <w:t> </w:t>
      </w:r>
      <w:r>
        <w:rPr>
          <w:rFonts w:ascii="Times New Roman" w:hAnsi="Times New Roman"/>
          <w:b w:val="false"/>
          <w:i/>
          <w:color w:val="000000"/>
          <w:sz w:val="22"/>
        </w:rPr>
        <w:t xml:space="preserve">Message. </w:t>
      </w:r>
      <w:r>
        <w:rPr>
          <w:rFonts w:ascii="Times New Roman" w:hAnsi="Times New Roman"/>
          <w:b w:val="false"/>
          <w:i w:val="false"/>
          <w:color w:val="000000"/>
          <w:sz w:val="22"/>
        </w:rPr>
        <w:t>The message on a tourist-oriented directional sign is limited to a descriptive name, a directional arrow, the travel distance to the destination, and in some cases for motorist services, an additional short word or acronym indicating an essential fuel type such as diesel, E-85, or EV (electric vehicle-charging station).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761—119.3</w:t>
      </w:r>
      <w:r>
        <w:rPr>
          <w:rFonts w:ascii="Times New Roman" w:hAnsi="Times New Roman"/>
          <w:b/>
          <w:i w:val="false"/>
          <w:color w:val="000000"/>
          <w:sz w:val="22"/>
        </w:rPr>
        <w:t xml:space="preserve">(321) </w:t>
      </w:r>
      <w:r>
        <w:rPr>
          <w:rFonts w:ascii="Times New Roman" w:hAnsi="Times New Roman"/>
          <w:b/>
          <w:i w:val="false"/>
          <w:color w:val="000000"/>
          <w:sz w:val="22"/>
        </w:rPr>
        <w:t xml:space="preserve">Eligibility for participation. </w:t>
      </w:r>
      <w:r>
        <w:rPr>
          <w:rFonts w:ascii="Times New Roman" w:hAnsi="Times New Roman"/>
          <w:b w:val="false"/>
          <w:i w:val="false"/>
          <w:color w:val="000000"/>
          <w:sz w:val="22"/>
        </w:rPr>
        <w:t>Participation in this signing program is limited to destinations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val="false"/>
          <w:color w:val="000000"/>
          <w:sz w:val="22"/>
        </w:rPr>
        <w:t>The destination is open to the general public for a minimum of four days per week and 20 hours per week. These hours are exclusive of any hours of operation that are by appointment, reservation or membership. The hours are conspicuously posted on the premises except for destinations that are open 24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val="false"/>
          <w:color w:val="000000"/>
          <w:sz w:val="22"/>
        </w:rPr>
        <w:t>Entrance to the destination is not granted based on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119.3(3)</w:t>
      </w:r>
      <w:r>
        <w:rPr>
          <w:rFonts w:ascii="Times New Roman" w:hAnsi="Times New Roman"/>
          <w:b w:val="false"/>
          <w:i w:val="false"/>
          <w:color w:val="000000"/>
          <w:sz w:val="22"/>
        </w:rPr>
        <w:t> </w:t>
      </w:r>
      <w:r>
        <w:rPr>
          <w:rFonts w:ascii="Times New Roman" w:hAnsi="Times New Roman"/>
          <w:b w:val="false"/>
          <w:i w:val="false"/>
          <w:color w:val="000000"/>
          <w:sz w:val="22"/>
        </w:rPr>
        <w:t>The destination derives a major portion of income or visitors from road users not residing in the area of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119.3(4)</w:t>
      </w:r>
      <w:r>
        <w:rPr>
          <w:rFonts w:ascii="Times New Roman" w:hAnsi="Times New Roman"/>
          <w:b w:val="false"/>
          <w:i w:val="false"/>
          <w:color w:val="000000"/>
          <w:sz w:val="22"/>
        </w:rPr>
        <w:t> </w:t>
      </w:r>
      <w:r>
        <w:rPr>
          <w:rFonts w:ascii="Times New Roman" w:hAnsi="Times New Roman"/>
          <w:b w:val="false"/>
          <w:i w:val="false"/>
          <w:color w:val="000000"/>
          <w:sz w:val="22"/>
        </w:rPr>
        <w:t>The destination is properly licensed by governing authorities relative to the nature of the activity engaged in by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119.3(5)</w:t>
      </w:r>
      <w:r>
        <w:rPr>
          <w:rFonts w:ascii="Times New Roman" w:hAnsi="Times New Roman"/>
          <w:b w:val="false"/>
          <w:i w:val="false"/>
          <w:color w:val="000000"/>
          <w:sz w:val="22"/>
        </w:rPr>
        <w:t> </w:t>
      </w:r>
      <w:r>
        <w:rPr>
          <w:rFonts w:ascii="Times New Roman" w:hAnsi="Times New Roman"/>
          <w:b w:val="false"/>
          <w:i w:val="false"/>
          <w:color w:val="000000"/>
          <w:sz w:val="22"/>
        </w:rPr>
        <w:t>The destination is located within ten miles of the intersection on the primary highway where the tourist-oriented directional signs will be 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119.3(6)</w:t>
      </w:r>
      <w:r>
        <w:rPr>
          <w:rFonts w:ascii="Times New Roman" w:hAnsi="Times New Roman"/>
          <w:b w:val="false"/>
          <w:i w:val="false"/>
          <w:color w:val="000000"/>
          <w:sz w:val="22"/>
        </w:rPr>
        <w:t> </w:t>
      </w:r>
      <w:r>
        <w:rPr>
          <w:rFonts w:ascii="Times New Roman" w:hAnsi="Times New Roman"/>
          <w:b w:val="false"/>
          <w:i w:val="false"/>
          <w:color w:val="000000"/>
          <w:sz w:val="22"/>
        </w:rPr>
        <w:t>The destination is located outside the boundaries of any urban area established by the U.S. Census Bureau for an incorporated municipality with a population that meets or exceeds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119.3(7)</w:t>
      </w:r>
      <w:r>
        <w:rPr>
          <w:rFonts w:ascii="Times New Roman" w:hAnsi="Times New Roman"/>
          <w:b w:val="false"/>
          <w:i w:val="false"/>
          <w:color w:val="000000"/>
          <w:sz w:val="22"/>
        </w:rPr>
        <w:t> </w:t>
      </w:r>
      <w:r>
        <w:rPr>
          <w:rFonts w:ascii="Times New Roman" w:hAnsi="Times New Roman"/>
          <w:b w:val="false"/>
          <w:i w:val="false"/>
          <w:color w:val="000000"/>
          <w:sz w:val="22"/>
        </w:rPr>
        <w:t>The destination is not visible from the primary highway in a way that allows motorists time to safely react and make the turn. This program is not intended for businesses that enjoy adequate highway frontage for the placement of on-site signing.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119.3(8)</w:t>
      </w:r>
      <w:r>
        <w:rPr>
          <w:rFonts w:ascii="Times New Roman" w:hAnsi="Times New Roman"/>
          <w:b w:val="false"/>
          <w:i w:val="false"/>
          <w:color w:val="000000"/>
          <w:sz w:val="22"/>
        </w:rPr>
        <w:t> </w:t>
      </w:r>
      <w:r>
        <w:rPr>
          <w:rFonts w:ascii="Times New Roman" w:hAnsi="Times New Roman"/>
          <w:b w:val="false"/>
          <w:i w:val="false"/>
          <w:color w:val="000000"/>
          <w:sz w:val="22"/>
        </w:rPr>
        <w:t>The destination consists of buildings, facilities, and grounds that are safe, suitable, and appropriately designed and maintained for the intended purpose. If residential quarters co-exist in the same building, a convenient, well-marked, and separate entrance is available for patrons to access the activity identified on the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119.3(9)</w:t>
      </w:r>
      <w:r>
        <w:rPr>
          <w:rFonts w:ascii="Times New Roman" w:hAnsi="Times New Roman"/>
          <w:b w:val="false"/>
          <w:i w:val="false"/>
          <w:color w:val="000000"/>
          <w:sz w:val="22"/>
        </w:rPr>
        <w:t> </w:t>
      </w:r>
      <w:r>
        <w:rPr>
          <w:rFonts w:ascii="Times New Roman" w:hAnsi="Times New Roman"/>
          <w:b w:val="false"/>
          <w:i w:val="false"/>
          <w:color w:val="000000"/>
          <w:sz w:val="22"/>
        </w:rPr>
        <w:t>The destination complies with all applicable laws concerning public accommodations without regard to age, race, creed, color, sex, sexual orientation, gender identity, national origin, religion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destination complies with Iowa Code chapters </w:t>
      </w:r>
      <w:hyperlink r:id="rId8">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306D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119.3(11)</w:t>
      </w:r>
      <w:r>
        <w:rPr>
          <w:rFonts w:ascii="Times New Roman" w:hAnsi="Times New Roman"/>
          <w:b w:val="false"/>
          <w:i w:val="false"/>
          <w:color w:val="000000"/>
          <w:sz w:val="22"/>
        </w:rPr>
        <w:t> </w:t>
      </w:r>
      <w:r>
        <w:rPr>
          <w:rFonts w:ascii="Times New Roman" w:hAnsi="Times New Roman"/>
          <w:b w:val="false"/>
          <w:i w:val="false"/>
          <w:color w:val="000000"/>
          <w:sz w:val="22"/>
        </w:rPr>
        <w:t>The destination, if seasonally operated, is open for a minimum of four consecutive weeks.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761—119.4</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and approval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tourist-oriented directional signing may be submitted to: Advertising Management Section, Traffic and Safety Bureau, Iowa Department of Transportation, 800 Lincoln Way, Ames, Iowa 50010. Information regarding the program may be accessed at </w:t>
      </w:r>
      <w:hyperlink r:id="rId11">
        <w:r>
          <w:rPr>
            <w:rStyle w:val="Hyperlink"/>
            <w:rFonts w:ascii="Times New Roman" w:hAnsi="Times New Roman"/>
            <w:b w:val="false"/>
            <w:i w:val="false"/>
            <w:color w:val="000000"/>
            <w:sz w:val="22"/>
            <w:u w:val="single"/>
          </w:rPr>
          <w:t>www.iowadot.gov/iowaroadsigns</w:t>
        </w:r>
      </w:hyperlink>
      <w:r>
        <w:rPr>
          <w:rFonts w:ascii="Times New Roman" w:hAnsi="Times New Roman"/>
          <w:b w:val="false"/>
          <w:i w:val="false"/>
          <w:color w:val="000000"/>
          <w:sz w:val="22"/>
        </w:rPr>
        <w:t xml:space="preserve"> or 515.239.1746.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conduct measurements, take photographs, and collect information about destinations as necessary for evaluation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that meet the requirements of this chapter will be approved.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119.4(4)</w:t>
      </w:r>
      <w:r>
        <w:rPr>
          <w:rFonts w:ascii="Times New Roman" w:hAnsi="Times New Roman"/>
          <w:b w:val="false"/>
          <w:i w:val="false"/>
          <w:color w:val="000000"/>
          <w:sz w:val="22"/>
        </w:rPr>
        <w:t> </w:t>
      </w:r>
      <w:r>
        <w:rPr>
          <w:rFonts w:ascii="Times New Roman" w:hAnsi="Times New Roman"/>
          <w:b w:val="false"/>
          <w:i w:val="false"/>
          <w:color w:val="000000"/>
          <w:sz w:val="22"/>
        </w:rPr>
        <w:t>Applications that do not meet the requirements of this chapter will be denied. The applicant will be informed of the reason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761—119.5</w:t>
      </w:r>
      <w:r>
        <w:rPr>
          <w:rFonts w:ascii="Times New Roman" w:hAnsi="Times New Roman"/>
          <w:b/>
          <w:i w:val="false"/>
          <w:color w:val="000000"/>
          <w:sz w:val="22"/>
        </w:rPr>
        <w:t xml:space="preserve">(321) </w:t>
      </w:r>
      <w:r>
        <w:rPr>
          <w:rFonts w:ascii="Times New Roman" w:hAnsi="Times New Roman"/>
          <w:b/>
          <w:i w:val="false"/>
          <w:color w:val="000000"/>
          <w:sz w:val="22"/>
        </w:rPr>
        <w:t xml:space="preserve">Installation, maintenance, replacement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119.5(1)</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maintenance of tourist-oriented directional signs. </w:t>
      </w:r>
      <w:r>
        <w:rPr>
          <w:rFonts w:ascii="Times New Roman" w:hAnsi="Times New Roman"/>
          <w:b w:val="false"/>
          <w:i w:val="false"/>
          <w:color w:val="000000"/>
          <w:sz w:val="22"/>
        </w:rPr>
        <w:t xml:space="preserve">Except as provided in subrule </w:t>
      </w:r>
      <w:hyperlink r:id="rId12">
        <w:r>
          <w:rPr>
            <w:rStyle w:val="Hyperlink"/>
            <w:rFonts w:ascii="Times New Roman" w:hAnsi="Times New Roman"/>
            <w:b w:val="false"/>
            <w:i w:val="false"/>
            <w:color w:val="000000"/>
            <w:sz w:val="22"/>
          </w:rPr>
          <w:t>119.5(4)</w:t>
        </w:r>
      </w:hyperlink>
      <w:r>
        <w:rPr>
          <w:rFonts w:ascii="Times New Roman" w:hAnsi="Times New Roman"/>
          <w:b w:val="false"/>
          <w:i w:val="false"/>
          <w:color w:val="000000"/>
          <w:sz w:val="22"/>
        </w:rPr>
        <w:t>, the department will fabricate and perform the installation, maintenance, removal and replacement of tourist-oriented directional signs that are located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approval of an application, the department will design the tourist-oriented directional sign and provide a scaled drawing of the tourist-oriented directional sign to the applicant, allowing the applicant to reconfirm interest before proceeding with fabrication.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payment of the initial fee specified in subrule </w:t>
      </w:r>
      <w:hyperlink r:id="rId13">
        <w:r>
          <w:rPr>
            <w:rStyle w:val="Hyperlink"/>
            <w:rFonts w:ascii="Times New Roman" w:hAnsi="Times New Roman"/>
            <w:b w:val="false"/>
            <w:i w:val="false"/>
            <w:color w:val="000000"/>
            <w:sz w:val="22"/>
          </w:rPr>
          <w:t>119.5(3)</w:t>
        </w:r>
      </w:hyperlink>
      <w:r>
        <w:rPr>
          <w:rFonts w:ascii="Times New Roman" w:hAnsi="Times New Roman"/>
          <w:b w:val="false"/>
          <w:i w:val="false"/>
          <w:color w:val="000000"/>
          <w:sz w:val="22"/>
        </w:rPr>
        <w:t>, the department will fabricate and install the tourist-oriented directional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119.5(2)</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maintenance of trailblazing signs. </w:t>
      </w:r>
      <w:r>
        <w:rPr>
          <w:rFonts w:ascii="Times New Roman" w:hAnsi="Times New Roman"/>
          <w:b w:val="false"/>
          <w:i w:val="false"/>
          <w:color w:val="000000"/>
          <w:sz w:val="22"/>
        </w:rPr>
        <w:t>Trailblazing signs are necessary when the destination is not located adjacent to the intersecting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fabricate trailblazing signs and provide them to cities and counties for installation on secondary roads and city streets, if such placement does not violate any local ordinance, policy, or traffic manual.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consult with the local authority to confirm that placement of a trailblazing sign is possible to guide the motorist to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Tourist-oriented directional signs may be installed only when all trailblazing signs may also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119.5(3)</w:t>
      </w:r>
      <w:r>
        <w:rPr>
          <w:rFonts w:ascii="Times New Roman" w:hAnsi="Times New Roman"/>
          <w:b w:val="false"/>
          <w:i w:val="false"/>
          <w:color w:val="000000"/>
          <w:sz w:val="22"/>
        </w:rPr>
        <w:t> </w:t>
      </w:r>
      <w:r>
        <w:rPr>
          <w:rFonts w:ascii="Times New Roman" w:hAnsi="Times New Roman"/>
          <w:b w:val="false"/>
          <w:i/>
          <w:color w:val="000000"/>
          <w:sz w:val="22"/>
        </w:rPr>
        <w:t xml:space="preserve">Initial and renewal fees. </w:t>
      </w:r>
      <w:r>
        <w:rPr>
          <w:rFonts w:ascii="Times New Roman" w:hAnsi="Times New Roman"/>
          <w:b w:val="false"/>
          <w:i w:val="false"/>
          <w:color w:val="000000"/>
          <w:sz w:val="22"/>
        </w:rPr>
        <w:t>The initial fee, payable once an application is approved, is $350 for each 72ʺ × 18ʺ sign placed along the primary highway and $26 for each trailblazing sign placed along a nonprimary highway. These fees include the cost of sign fabrication and installation but do not include any additional requested fees by local jurisdictions for the placement of trailblazing signs along local road systems. The annual renewal fee, payable on or before June 30 of each year, is $50 per sign, excluding trailblazing signs. This fee covers the administrative costs and normal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119.5(4)</w:t>
      </w:r>
      <w:r>
        <w:rPr>
          <w:rFonts w:ascii="Times New Roman" w:hAnsi="Times New Roman"/>
          <w:b w:val="false"/>
          <w:i w:val="false"/>
          <w:color w:val="000000"/>
          <w:sz w:val="22"/>
        </w:rPr>
        <w:t> </w:t>
      </w:r>
      <w:r>
        <w:rPr>
          <w:rFonts w:ascii="Times New Roman" w:hAnsi="Times New Roman"/>
          <w:b w:val="false"/>
          <w:i/>
          <w:color w:val="000000"/>
          <w:sz w:val="22"/>
        </w:rPr>
        <w:t xml:space="preserve">Seasonal destination.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Seasonal destinations may be approved for the program if “closed” panels are installed over the directional information when the destinations are not open for the season or when the hours of operation are not meeting the minimum listed in subrule </w:t>
      </w:r>
      <w:hyperlink r:id="rId14">
        <w:r>
          <w:rPr>
            <w:rStyle w:val="Hyperlink"/>
            <w:rFonts w:ascii="Times New Roman" w:hAnsi="Times New Roman"/>
            <w:b w:val="false"/>
            <w:i w:val="false"/>
            <w:color w:val="000000"/>
            <w:sz w:val="22"/>
          </w:rPr>
          <w:t>119.3(1)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Destinations such as golf courses and Christmas tree farms where the expected seasonal period is generally known by motorists may forego the use of “closed”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Destinations using “closed” panels may arrange to remove or reinstall the panels on their own through an agreement with the department or pay a fee to the department to perform the service. The fee is $40 per trip and includes all signs associated with the destination that are located along the primary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119.5(5)</w:t>
      </w: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 xml:space="preserve">Tourist-oriented directional signs are constructed with high-quality materials designed to last many years. The department may, however, determine that a tourist-oriented directional sign needs to be replaced due to damage from vehicles, deterioration from age, or loss due to theft. In these cases, the cost for replacing the sign is the responsibility of the destination.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119.5(6)</w:t>
      </w:r>
      <w:r>
        <w:rPr>
          <w:rFonts w:ascii="Times New Roman" w:hAnsi="Times New Roman"/>
          <w:b w:val="false"/>
          <w:i w:val="false"/>
          <w:color w:val="000000"/>
          <w:sz w:val="22"/>
        </w:rPr>
        <w:t> </w:t>
      </w:r>
      <w:r>
        <w:rPr>
          <w:rFonts w:ascii="Times New Roman" w:hAnsi="Times New Roman"/>
          <w:b w:val="false"/>
          <w:i/>
          <w:color w:val="000000"/>
          <w:sz w:val="22"/>
        </w:rPr>
        <w:t xml:space="preserve">Not-for-profit organizations. </w:t>
      </w:r>
      <w:r>
        <w:rPr>
          <w:rFonts w:ascii="Times New Roman" w:hAnsi="Times New Roman"/>
          <w:b w:val="false"/>
          <w:i w:val="false"/>
          <w:color w:val="000000"/>
          <w:sz w:val="22"/>
        </w:rPr>
        <w:t>A not-for-profit destination is exempted from all fees and costs associated with the installation and maintenance of a single set of signs at a location determined by the department to be the most reasonable approach to the destination. Additional locations may be requested by the not-for-profit organization, and, if approved, such locations are subject to the associated fees and costs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119.5(7)</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The department may remove a tourist-oriented directional sign if the destination no longer qualifies for tourist-oriented directional signing. As official signs, all removed tourist-oriented directional signs are retained as property of the department unless released to the destination for purposes other than display along any public roadway.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321.252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2024 Iowa Acts, Senate File 2385</w:t>
      </w:r>
      <w:r>
        <w:rPr>
          <w:rFonts w:ascii="Times New Roman" w:hAnsi="Times New Roman"/>
          <w:b w:val="false"/>
          <w:i w:val="false"/>
          <w:color w:val="000000"/>
          <w:sz w:val="22"/>
        </w:rPr>
        <w:t>, section 317.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5/3/89, Notice 3/22/89—published 5/31/89, effective 7/5/89]</w:t>
      </w:r>
    </w:p>
    <w:p>
      <w:pPr>
        <w:spacing w:before="0" w:after="0"/>
        <w:ind w:left="120"/>
        <w:jc w:val="center"/>
      </w:pPr>
      <w:r>
        <w:rPr>
          <w:rFonts w:ascii="Times New Roman" w:hAnsi="Times New Roman"/>
          <w:b w:val="false"/>
          <w:i w:val="false"/>
          <w:color w:val="000000"/>
          <w:sz w:val="21"/>
        </w:rPr>
        <w:t>[Filed 8/7/96, Notice 7/3/96—published 8/28/96, effective 10/2/96]</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ARC 1202C</w:t>
      </w:r>
      <w:r>
        <w:rPr>
          <w:rFonts w:ascii="Times New Roman" w:hAnsi="Times New Roman"/>
          <w:b w:val="false"/>
          <w:i w:val="false"/>
          <w:color w:val="000000"/>
          <w:sz w:val="21"/>
        </w:rPr>
        <w:t xml:space="preserve"> (Notice ARC 1018C,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4436C</w:t>
      </w:r>
      <w:r>
        <w:rPr>
          <w:rFonts w:ascii="Times New Roman" w:hAnsi="Times New Roman"/>
          <w:b w:val="false"/>
          <w:i w:val="false"/>
          <w:color w:val="000000"/>
          <w:sz w:val="21"/>
        </w:rPr>
        <w:t xml:space="preserve"> (Notice ARC 4317C, IAB 2/27/19)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6971C</w:t>
      </w:r>
      <w:r>
        <w:rPr>
          <w:rFonts w:ascii="Times New Roman" w:hAnsi="Times New Roman"/>
          <w:b w:val="false"/>
          <w:i w:val="false"/>
          <w:color w:val="000000"/>
          <w:sz w:val="21"/>
        </w:rPr>
        <w:t xml:space="preserve"> (Notice ARC 6885C,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8786C</w:t>
      </w:r>
      <w:r>
        <w:rPr>
          <w:rFonts w:ascii="Times New Roman" w:hAnsi="Times New Roman"/>
          <w:b w:val="false"/>
          <w:i w:val="false"/>
          <w:color w:val="000000"/>
          <w:sz w:val="21"/>
        </w:rPr>
        <w:t xml:space="preserve"> (Notice ARC 8252C,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19.3.pdf" Type="http://schemas.openxmlformats.org/officeDocument/2006/relationships/hyperlink" Id="rId5"/>
    <Relationship TargetMode="External" Target="https://www.legis.iowa.gov/docs/ico/chapter/306C.10.pdf" Type="http://schemas.openxmlformats.org/officeDocument/2006/relationships/hyperlink" Id="rId6"/>
    <Relationship TargetMode="External" Target="https://www.legis.iowa.gov/docs/iac/rule/761.130.1.pdf" Type="http://schemas.openxmlformats.org/officeDocument/2006/relationships/hyperlink" Id="rId7"/>
    <Relationship TargetMode="External" Target="https://www.legis.iowa.gov/docs/ico/chapter/306B.pdf" Type="http://schemas.openxmlformats.org/officeDocument/2006/relationships/hyperlink" Id="rId8"/>
    <Relationship TargetMode="External" Target="https://www.legis.iowa.gov/docs/ico/chapter/306C.pdf" Type="http://schemas.openxmlformats.org/officeDocument/2006/relationships/hyperlink" Id="rId9"/>
    <Relationship TargetMode="External" Target="https://www.legis.iowa.gov/docs/ico/chapter/306D.pdf" Type="http://schemas.openxmlformats.org/officeDocument/2006/relationships/hyperlink" Id="rId10"/>
    <Relationship TargetMode="External" Target="http://www.iowadot.gov/iowaroadsigns" Type="http://schemas.openxmlformats.org/officeDocument/2006/relationships/hyperlink" Id="rId11"/>
    <Relationship TargetMode="External" Target="https://www.legis.iowa.gov/docs/iac/rule/761.119.5.pdf" Type="http://schemas.openxmlformats.org/officeDocument/2006/relationships/hyperlink" Id="rId12"/>
    <Relationship TargetMode="External" Target="https://www.legis.iowa.gov/docs/iac/rule/761.119.5.pdf" Type="http://schemas.openxmlformats.org/officeDocument/2006/relationships/hyperlink" Id="rId13"/>
    <Relationship TargetMode="External" Target="https://www.legis.iowa.gov/docs/iac/rule/761.119.3.pdf" Type="http://schemas.openxmlformats.org/officeDocument/2006/relationships/hyperlink" Id="rId14"/>
    <Relationship TargetMode="External" Target="https://www.legis.iowa.gov/docs/ico/chapter/321.252.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