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117</w:t>
      </w:r>
    </w:p>
    <w:p>
      <w:pPr>
        <w:spacing w:before="0" w:after="0"/>
        <w:ind w:left="120"/>
        <w:jc w:val="center"/>
      </w:pPr>
      <w:r>
        <w:rPr>
          <w:rFonts w:ascii="Times New Roman" w:hAnsi="Times New Roman"/>
          <w:b w:val="false"/>
          <w:i w:val="false"/>
          <w:color w:val="000000"/>
          <w:sz w:val="21"/>
        </w:rPr>
        <w:t>OUTDOOR ADVERTISING</w:t>
      </w:r>
    </w:p>
    <w:p>
      <w:pPr>
        <w:spacing w:before="0" w:after="0"/>
        <w:ind w:left="120"/>
        <w:jc w:val="center"/>
      </w:pPr>
      <w:r>
        <w:rPr>
          <w:rFonts w:ascii="Times New Roman" w:hAnsi="Times New Roman"/>
          <w:b w:val="false"/>
          <w:i w:val="false"/>
          <w:color w:val="000000"/>
          <w:sz w:val="14"/>
        </w:rPr>
        <w:t>[Prior to 6/3/87, Transportation Department[820]—(06,O)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761—117.1</w:t>
      </w:r>
      <w:r>
        <w:rPr>
          <w:rFonts w:ascii="Times New Roman" w:hAnsi="Times New Roman"/>
          <w:b/>
          <w:i w:val="false"/>
          <w:color w:val="000000"/>
          <w:sz w:val="22"/>
        </w:rPr>
        <w:t xml:space="preserve">(306B,306C)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306C.10</w:t>
        </w:r>
      </w:hyperlink>
      <w:r>
        <w:rPr>
          <w:rFonts w:ascii="Times New Roman" w:hAnsi="Times New Roman"/>
          <w:b w:val="false"/>
          <w:i w:val="false"/>
          <w:color w:val="000000"/>
          <w:sz w:val="22"/>
        </w:rPr>
        <w:t xml:space="preserve"> are adopted.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“Abandoned sign” </w:t>
      </w:r>
      <w:r>
        <w:rPr>
          <w:rFonts w:ascii="Times New Roman" w:hAnsi="Times New Roman"/>
          <w:b w:val="false"/>
          <w:i w:val="false"/>
          <w:color w:val="000000"/>
          <w:sz w:val="22"/>
        </w:rPr>
        <w:t>means an advertising device for which the owner has failed to timely apply for the required outdoor advertising permit(s) or has failed to timely pay the required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“Blank sign” </w:t>
      </w:r>
      <w:r>
        <w:rPr>
          <w:rFonts w:ascii="Times New Roman" w:hAnsi="Times New Roman"/>
          <w:b w:val="false"/>
          <w:i w:val="false"/>
          <w:color w:val="000000"/>
          <w:sz w:val="22"/>
        </w:rPr>
        <w:t>means an advertising device for which any of the following conditions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face does not display advertising copy.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face has been removed.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entire advertising device has been removed or does not exist at the permitted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“Daylight area” </w:t>
      </w:r>
      <w:r>
        <w:rPr>
          <w:rFonts w:ascii="Times New Roman" w:hAnsi="Times New Roman"/>
          <w:b w:val="false"/>
          <w:i w:val="false"/>
          <w:color w:val="000000"/>
          <w:sz w:val="22"/>
        </w:rPr>
        <w:t>means a triangular area formed by a line connecting two points each back (50 feet in city, 100 feet in unincorporated area) from the point where the right-of-way lines of the main traveled way and an intersecting street meet or would meet if extended.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“Destroyed” </w:t>
      </w:r>
      <w:r>
        <w:rPr>
          <w:rFonts w:ascii="Times New Roman" w:hAnsi="Times New Roman"/>
          <w:b w:val="false"/>
          <w:i w:val="false"/>
          <w:color w:val="000000"/>
          <w:sz w:val="22"/>
        </w:rPr>
        <w:t>means that at least 60 percent of the supports are broken, if wooden, or broken, bent or twisted, if metal, such that normal repair practices would call for the replacement of the damaged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“Face” </w:t>
      </w:r>
      <w:r>
        <w:rPr>
          <w:rFonts w:ascii="Times New Roman" w:hAnsi="Times New Roman"/>
          <w:b w:val="false"/>
          <w:i w:val="false"/>
          <w:color w:val="000000"/>
          <w:sz w:val="22"/>
        </w:rPr>
        <w:t>means that part of an advertising device that is devoted to the display of advertising and that is visible to traffic proceeding in any one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“Interchange” </w:t>
      </w:r>
      <w:r>
        <w:rPr>
          <w:rFonts w:ascii="Times New Roman" w:hAnsi="Times New Roman"/>
          <w:b w:val="false"/>
          <w:i w:val="false"/>
          <w:color w:val="000000"/>
          <w:sz w:val="22"/>
        </w:rPr>
        <w:t>means the entire area constructed for a junction of two or more public streets or highways by a system of separate levels that permit traffic to pass from one level to another without the crossing of traffic streams. This includes all acceleration and deceleration lanes constructed to accommodate this movement of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“LED display” </w:t>
      </w:r>
      <w:r>
        <w:rPr>
          <w:rFonts w:ascii="Times New Roman" w:hAnsi="Times New Roman"/>
          <w:b w:val="false"/>
          <w:i w:val="false"/>
          <w:color w:val="000000"/>
          <w:sz w:val="22"/>
        </w:rPr>
        <w:t>means a face, as defined herein, displaying a message that is formed by light-emitting diodes and that is changed by an electronic process. An LED display is a single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“Modification” </w:t>
      </w:r>
      <w:r>
        <w:rPr>
          <w:rFonts w:ascii="Times New Roman" w:hAnsi="Times New Roman"/>
          <w:b w:val="false"/>
          <w:i w:val="false"/>
          <w:color w:val="000000"/>
          <w:sz w:val="22"/>
        </w:rPr>
        <w:t>means any addition to or change in dimensions, lighting, structure or advertising face, except as incidental to the customary maintenance of an advertising device.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change in the number or type of support posts is a modification. A change in dimensions is a modification. However, the addition of extensions or cutouts, including forward projecting, is not a modification if the extensions or cutouts are added for a period of 90 days or less and if they are illuminated only by existing sign lighting and do not contain internal lighting.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lawful change in advertising message is not a modification. The use of a vinyl overlay or wrap on either a poster panel or paint unit is a change in advertising message, not a modification.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 an advertising device that conforms to all current requirements, the replacement of one metal-framed face with another metal-framed face of the same size, using dissimilar component parts or assembly methods, or both, is not a modification.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addition of LED display capabilities to an advertising device is a modification.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elimination of trim surrounding the area used for advertising copy is not a modification, provided the advertising copy retains the same dimensions as the original advertising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“Nonconforming sign” </w:t>
      </w:r>
      <w:r>
        <w:rPr>
          <w:rFonts w:ascii="Times New Roman" w:hAnsi="Times New Roman"/>
          <w:b w:val="false"/>
          <w:i w:val="false"/>
          <w:color w:val="000000"/>
          <w:sz w:val="22"/>
        </w:rPr>
        <w:t>means an advertising device that was lawfully erected and continues to be lawfully maintained, but that does not comply with current requirements due to changed conditions, such as a change in zoning, establishment of a new highway, or a similar change that affects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“Regularly used” </w:t>
      </w:r>
      <w:r>
        <w:rPr>
          <w:rFonts w:ascii="Times New Roman" w:hAnsi="Times New Roman"/>
          <w:b w:val="false"/>
          <w:i w:val="false"/>
          <w:color w:val="000000"/>
          <w:sz w:val="22"/>
        </w:rPr>
        <w:t>means open for business and staffed by an owner or employee for at least 20 hours per week, on property assessed as commercial or industrial by the jurisdiction having authority, and with the hours of operation visibly posted on the premises. The department may delay action on the permit application for up to 180 days from the date of the application in order to conduct periodic checks on the site as necessary to determine whether the purported commercial or industrial activity meets this definition. A rental storage business is excepted from the staffing requirement if it has 24-hour access for customers and a minimum of 50 units, each occupying at least 50 square feet, individually separated, and enclosed by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“Scenic area,”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 means any area of particular scenic beauty or historical significance, as determined by the federal, state or local officials having jurisdiction of the area. It includes real property interests that have been acquired for the restoration, preservation and enhancement of scenic beauty.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“Tri-face device” </w:t>
      </w:r>
      <w:r>
        <w:rPr>
          <w:rFonts w:ascii="Times New Roman" w:hAnsi="Times New Roman"/>
          <w:b w:val="false"/>
          <w:i w:val="false"/>
          <w:color w:val="000000"/>
          <w:sz w:val="22"/>
        </w:rPr>
        <w:t xml:space="preserve">means an advertising device with three singular faces attached to one common structure in a triangular configuration.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“Tri-vision device” </w:t>
      </w:r>
      <w:r>
        <w:rPr>
          <w:rFonts w:ascii="Times New Roman" w:hAnsi="Times New Roman"/>
          <w:b w:val="false"/>
          <w:i w:val="false"/>
          <w:color w:val="000000"/>
          <w:sz w:val="22"/>
        </w:rPr>
        <w:t>means an advertising device that has an advertising face with a mechanical device that allows three advertising messages to be alternately visible to traffic proceeding in any one direction. Each message is attached to individual vertical or horizontal louvers, which are mechanically rotated to change the message.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“Widening,” </w:t>
      </w:r>
      <w:r>
        <w:rPr>
          <w:rFonts w:ascii="Times New Roman" w:hAnsi="Times New Roman"/>
          <w:b w:val="false"/>
          <w:i w:val="false"/>
          <w:color w:val="000000"/>
          <w:sz w:val="22"/>
        </w:rPr>
        <w:t xml:space="preserve">as used in Iowa Code section </w:t>
      </w:r>
      <w:hyperlink r:id="rId7">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 means the point at which it is detectable that a deceleration or exit ramp is beginning to form alongside the main traveled way, or an acceleration or merging ramp has tapered to a close alongside the main traveled way. In the case where an entrance ramp becomes an auxiliary lane and the auxiliary lane becomes an exit ramp at the adjacent interchange, the widening shall be the point at which a deceleration ramp completely separates from the main traveled way as evidenced by the inside lane marking of such ramp, or an acceleration ramp joins with the main traveled way as evidenced by the inside lane marking of the ramp intersecting with the outside lane marking of the main traveled 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761—117.2</w:t>
      </w:r>
      <w:r>
        <w:rPr>
          <w:rFonts w:ascii="Times New Roman" w:hAnsi="Times New Roman"/>
          <w:b/>
          <w:i w:val="false"/>
          <w:color w:val="000000"/>
          <w:sz w:val="22"/>
        </w:rPr>
        <w:t xml:space="preserve">(306B,306C)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chapter pertains to all advertising devices that are visible from the main traveled way of any primary highway, except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Advertising devices within incorporated areas that are beyond 660 feet from the nearest edge of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Official traffic control devices, logo signing and tourist-oriented directional signing.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devices erected within the right-of-way of any primary highway; such devices are subject to Iowa Code chapter </w:t>
      </w:r>
      <w:hyperlink r:id="rId8">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117.2(2)</w:t>
      </w:r>
      <w:r>
        <w:rPr>
          <w:rFonts w:ascii="Times New Roman" w:hAnsi="Times New Roman"/>
          <w:b w:val="false"/>
          <w:i w:val="false"/>
          <w:color w:val="000000"/>
          <w:sz w:val="22"/>
        </w:rPr>
        <w:t> </w:t>
      </w:r>
      <w:r>
        <w:rPr>
          <w:rFonts w:ascii="Times New Roman" w:hAnsi="Times New Roman"/>
          <w:b w:val="false"/>
          <w:i/>
          <w:color w:val="000000"/>
          <w:sz w:val="22"/>
        </w:rPr>
        <w:t xml:space="preserve">Rebuttable presumption. </w:t>
      </w:r>
      <w:r>
        <w:rPr>
          <w:rFonts w:ascii="Times New Roman" w:hAnsi="Times New Roman"/>
          <w:b w:val="false"/>
          <w:i w:val="false"/>
          <w:color w:val="000000"/>
          <w:sz w:val="22"/>
        </w:rPr>
        <w:t>The department may regulate signs as advertising devices except when sufficient documentation from persons reasonably identified as potential payors or receivers of remuneration is available to the department showing or certifying that remuneration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117.2(3)</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 xml:space="preserve">Inquiries, requests for forms, and applications regarding this chapter may be directed to the Advertising Management Section, Traffic and Safety Bureau, Department of Transportation, 800 Lincoln Way, Ames, Iowa 50010. Similar information is also available at </w:t>
      </w:r>
      <w:hyperlink r:id="rId9">
        <w:r>
          <w:rPr>
            <w:rStyle w:val="Hyperlink"/>
            <w:rFonts w:ascii="Times New Roman" w:hAnsi="Times New Roman"/>
            <w:b w:val="false"/>
            <w:i w:val="false"/>
            <w:color w:val="000000"/>
            <w:sz w:val="22"/>
            <w:u w:val="single"/>
          </w:rPr>
          <w:t>www.iowadot.gov/iowaroadsigns/sign-programs-and-applications/advertising-signs</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117.2(4)</w:t>
      </w:r>
      <w:r>
        <w:rPr>
          <w:rFonts w:ascii="Times New Roman" w:hAnsi="Times New Roman"/>
          <w:b w:val="false"/>
          <w:i w:val="false"/>
          <w:color w:val="000000"/>
          <w:sz w:val="22"/>
        </w:rPr>
        <w:t> </w:t>
      </w:r>
      <w:r>
        <w:rPr>
          <w:rFonts w:ascii="Times New Roman" w:hAnsi="Times New Roman"/>
          <w:b w:val="false"/>
          <w:i/>
          <w:color w:val="000000"/>
          <w:sz w:val="22"/>
        </w:rPr>
        <w:t xml:space="preserve">Advertising devices permitted under the private directional sign program between May 26, 1983, and July 1, 2021. </w:t>
      </w:r>
      <w:r>
        <w:rPr>
          <w:rFonts w:ascii="Times New Roman" w:hAnsi="Times New Roman"/>
          <w:b w:val="false"/>
          <w:i w:val="false"/>
          <w:color w:val="000000"/>
          <w:sz w:val="22"/>
        </w:rPr>
        <w:t xml:space="preserve">Any advertising device permitted as a private directional sign by the department between May 26, 1983, and July 1, 2021, may continue to exist, even if nonconforming to this chapter, under the following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is renewed each year by payment of a $15 fee on or before July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 remains issued to the owner of the permit on record with the department on July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advertising device is not modified or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advertising device is properly maintained with legible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 and display of the advertising device meet federal standards contained in 23 CFR Section 750.154 as amended to October 1, 2024.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761—117.3</w:t>
      </w:r>
      <w:r>
        <w:rPr>
          <w:rFonts w:ascii="Times New Roman" w:hAnsi="Times New Roman"/>
          <w:b/>
          <w:i w:val="false"/>
          <w:color w:val="000000"/>
          <w:sz w:val="22"/>
        </w:rPr>
        <w:t xml:space="preserve">(306B,306C,306D) </w:t>
      </w:r>
      <w:r>
        <w:rPr>
          <w:rFonts w:ascii="Times New Roman" w:hAnsi="Times New Roman"/>
          <w:b/>
          <w:i w:val="false"/>
          <w:color w:val="000000"/>
          <w:sz w:val="22"/>
        </w:rPr>
        <w:t xml:space="preserve">General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 xml:space="preserve">In addition to the standards contained in Iowa Code section </w:t>
      </w:r>
      <w:hyperlink r:id="rId10">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 advertising devices shall not be erected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attempt or appear to attempt to direct the movement of traffic.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That move or have any animated or moving parts in areas subject to Iowa Code chapter </w:t>
      </w:r>
      <w:hyperlink r:id="rId11">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That contain LED displays, unless each advertisement remains in a fixed position on the display screen for at least eight seconds, transitions between advertisements occur within one second, and advertisements are not flashed, rolled, scrolled, or moved in any way on the display screen.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adjacent area of a designated scenic byway, unless the erection occurred prior to the date of designation, in which case subsequent permitting may occur in accordance with Iowa Code section </w:t>
      </w:r>
      <w:hyperlink r:id="rId12">
        <w:r>
          <w:rPr>
            <w:rStyle w:val="Hyperlink"/>
            <w:rFonts w:ascii="Times New Roman" w:hAnsi="Times New Roman"/>
            <w:b w:val="false"/>
            <w:i w:val="false"/>
            <w:color w:val="000000"/>
            <w:sz w:val="22"/>
          </w:rPr>
          <w:t>306C.18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117.3(2)</w:t>
      </w:r>
      <w:r>
        <w:rPr>
          <w:rFonts w:ascii="Times New Roman" w:hAnsi="Times New Roman"/>
          <w:b w:val="false"/>
          <w:i w:val="false"/>
          <w:color w:val="000000"/>
          <w:sz w:val="22"/>
        </w:rPr>
        <w:t> </w:t>
      </w:r>
      <w:r>
        <w:rPr>
          <w:rFonts w:ascii="Times New Roman" w:hAnsi="Times New Roman"/>
          <w:b w:val="false"/>
          <w:i/>
          <w:color w:val="000000"/>
          <w:sz w:val="22"/>
        </w:rPr>
        <w:t xml:space="preserve">Measurements of distance. </w:t>
      </w:r>
      <w:r>
        <w:rPr>
          <w:rFonts w:ascii="Times New Roman" w:hAnsi="Times New Roman"/>
          <w:b w:val="false"/>
          <w:i w:val="false"/>
          <w:color w:val="000000"/>
          <w:sz w:val="22"/>
        </w:rPr>
        <w:t xml:space="preserve">Measurements of distance for general spacing purposes are conducted in a horizontal manner parallel with the highway centerline. However, when determining the limits of the adjacent area defined in Iowa Code section </w:t>
      </w:r>
      <w:hyperlink r:id="rId13">
        <w:r>
          <w:rPr>
            <w:rStyle w:val="Hyperlink"/>
            <w:rFonts w:ascii="Times New Roman" w:hAnsi="Times New Roman"/>
            <w:b w:val="false"/>
            <w:i w:val="false"/>
            <w:color w:val="000000"/>
            <w:sz w:val="22"/>
          </w:rPr>
          <w:t>306C.10</w:t>
        </w:r>
      </w:hyperlink>
      <w:r>
        <w:rPr>
          <w:rFonts w:ascii="Times New Roman" w:hAnsi="Times New Roman"/>
          <w:b w:val="false"/>
          <w:i w:val="false"/>
          <w:color w:val="000000"/>
          <w:sz w:val="22"/>
        </w:rPr>
        <w:t>, measurements from the edge of the right-of-way are conducted in a horizontal manner perpendicular to the highway centerline.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117.3(3)</w:t>
      </w:r>
      <w:r>
        <w:rPr>
          <w:rFonts w:ascii="Times New Roman" w:hAnsi="Times New Roman"/>
          <w:b w:val="false"/>
          <w:i w:val="false"/>
          <w:color w:val="000000"/>
          <w:sz w:val="22"/>
        </w:rPr>
        <w:t> </w:t>
      </w:r>
      <w:r>
        <w:rPr>
          <w:rFonts w:ascii="Times New Roman" w:hAnsi="Times New Roman"/>
          <w:b w:val="false"/>
          <w:i/>
          <w:color w:val="000000"/>
          <w:sz w:val="22"/>
        </w:rPr>
        <w:t xml:space="preserve">Measurement of size. </w:t>
      </w:r>
      <w:r>
        <w:rPr>
          <w:rFonts w:ascii="Times New Roman" w:hAnsi="Times New Roman"/>
          <w:b w:val="false"/>
          <w:i w:val="false"/>
          <w:color w:val="000000"/>
          <w:sz w:val="22"/>
        </w:rPr>
        <w:t>The size of an advertising device is determined by measuring the smallest square, rectangle, triangle, circle or combination thereof that will encompass the entire display area including border and trim, but excluding temporary cutouts and extensions, base, apron, support, and other structural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117.3(4)</w:t>
      </w:r>
      <w:r>
        <w:rPr>
          <w:rFonts w:ascii="Times New Roman" w:hAnsi="Times New Roman"/>
          <w:b w:val="false"/>
          <w:i w:val="false"/>
          <w:color w:val="000000"/>
          <w:sz w:val="22"/>
        </w:rPr>
        <w:t> </w:t>
      </w:r>
      <w:r>
        <w:rPr>
          <w:rFonts w:ascii="Times New Roman" w:hAnsi="Times New Roman"/>
          <w:b w:val="false"/>
          <w:i/>
          <w:color w:val="000000"/>
          <w:sz w:val="22"/>
        </w:rPr>
        <w:t xml:space="preserve">Zoning exclusions. </w:t>
      </w:r>
      <w:r>
        <w:rPr>
          <w:rFonts w:ascii="Times New Roman" w:hAnsi="Times New Roman"/>
          <w:b w:val="false"/>
          <w:i w:val="false"/>
          <w:color w:val="000000"/>
          <w:sz w:val="22"/>
        </w:rPr>
        <w:t>The following zoning actions are not commercial or industrial zones for advertising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zone in which limited commercial or industrial activities are permitted incidental to other primary land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Action that is not a part of comprehensive zoning in accordance with Iowa Code chapter </w:t>
      </w:r>
      <w:hyperlink r:id="rId14">
        <w:r>
          <w:rPr>
            <w:rStyle w:val="Hyperlink"/>
            <w:rFonts w:ascii="Times New Roman" w:hAnsi="Times New Roman"/>
            <w:b w:val="false"/>
            <w:i w:val="false"/>
            <w:color w:val="000000"/>
            <w:sz w:val="22"/>
          </w:rPr>
          <w:t>335</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Action taken primarily to permit advertising devices.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761—117.4</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761—117.5</w:t>
      </w:r>
      <w:r>
        <w:rPr>
          <w:rFonts w:ascii="Times New Roman" w:hAnsi="Times New Roman"/>
          <w:b/>
          <w:i w:val="false"/>
          <w:color w:val="000000"/>
          <w:sz w:val="22"/>
        </w:rPr>
        <w:t xml:space="preserve">(306B,306C) </w:t>
      </w:r>
      <w:r>
        <w:rPr>
          <w:rFonts w:ascii="Times New Roman" w:hAnsi="Times New Roman"/>
          <w:b/>
          <w:i w:val="false"/>
          <w:color w:val="000000"/>
          <w:sz w:val="22"/>
        </w:rPr>
        <w:t xml:space="preserve">Location, size and spacing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117.5(1)</w:t>
      </w:r>
      <w:r>
        <w:rPr>
          <w:rFonts w:ascii="Times New Roman" w:hAnsi="Times New Roman"/>
          <w:b w:val="false"/>
          <w:i w:val="false"/>
          <w:color w:val="000000"/>
          <w:sz w:val="22"/>
        </w:rPr>
        <w:t> </w:t>
      </w:r>
      <w:r>
        <w:rPr>
          <w:rFonts w:ascii="Times New Roman" w:hAnsi="Times New Roman"/>
          <w:b w:val="false"/>
          <w:i/>
          <w:color w:val="000000"/>
          <w:sz w:val="22"/>
        </w:rPr>
        <w:t xml:space="preserve">Advertising devices lawfully in existence prior to July 1, 1972.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advertising device that was lawfully in existence prior to July 1, 1972, including a device located beyond the adjacent area in unincorporated areas, may remain in existence without conforming to the location, size and spacing requirements in this rule provided that a permit is maintained in accordance with rule </w:t>
      </w:r>
      <w:hyperlink r:id="rId16">
        <w:r>
          <w:rPr>
            <w:rStyle w:val="Hyperlink"/>
            <w:rFonts w:ascii="Times New Roman" w:hAnsi="Times New Roman"/>
            <w:b w:val="false"/>
            <w:i w:val="false"/>
            <w:color w:val="000000"/>
            <w:sz w:val="22"/>
          </w:rPr>
          <w:t>761—117.6</w:t>
        </w:r>
      </w:hyperlink>
      <w:r>
        <w:rPr>
          <w:rFonts w:ascii="Times New Roman" w:hAnsi="Times New Roman"/>
          <w:b w:val="false"/>
          <w:i w:val="false"/>
          <w:color w:val="000000"/>
          <w:sz w:val="22"/>
        </w:rPr>
        <w:t>(306C).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advertising device is located in an adjacent area that is neither a zoned nor an unzoned commercial or industrial area, the device may remain in existence as described in paragraph </w:t>
      </w:r>
      <w:hyperlink r:id="rId17">
        <w:r>
          <w:rPr>
            <w:rStyle w:val="Hyperlink"/>
            <w:rFonts w:ascii="Times New Roman" w:hAnsi="Times New Roman"/>
            <w:b w:val="false"/>
            <w:i w:val="false"/>
            <w:color w:val="000000"/>
            <w:sz w:val="22"/>
          </w:rPr>
          <w:t>117.5(1)</w:t>
        </w:r>
      </w:hyperlink>
      <w:r>
        <w:rPr>
          <w:rFonts w:ascii="Times New Roman" w:hAnsi="Times New Roman"/>
          <w:b w:val="false"/>
          <w:i/>
          <w:color w:val="000000"/>
          <w:sz w:val="22"/>
        </w:rPr>
        <w:t>“a”</w:t>
      </w:r>
      <w:r>
        <w:rPr>
          <w:rFonts w:ascii="Times New Roman" w:hAnsi="Times New Roman"/>
          <w:b w:val="false"/>
          <w:i w:val="false"/>
          <w:color w:val="000000"/>
          <w:sz w:val="22"/>
        </w:rPr>
        <w:t xml:space="preserve"> only until such time as the device is acquired by the department. The permit issued for the device will be a provisional permit in accordance with Iowa Code section </w:t>
      </w:r>
      <w:hyperlink r:id="rId18">
        <w:r>
          <w:rPr>
            <w:rStyle w:val="Hyperlink"/>
            <w:rFonts w:ascii="Times New Roman" w:hAnsi="Times New Roman"/>
            <w:b w:val="false"/>
            <w:i w:val="false"/>
            <w:color w:val="000000"/>
            <w:sz w:val="22"/>
          </w:rPr>
          <w:t>306C.18(3)</w:t>
        </w:r>
      </w:hyperlink>
      <w:r>
        <w:rPr>
          <w:rFonts w:ascii="Times New Roman" w:hAnsi="Times New Roman"/>
          <w:b w:val="false"/>
          <w:i w:val="false"/>
          <w:color w:val="000000"/>
          <w:sz w:val="22"/>
        </w:rPr>
        <w:t xml:space="preserve"> and subject to acquisition in accordance with rule </w:t>
      </w:r>
      <w:hyperlink r:id="rId19">
        <w:r>
          <w:rPr>
            <w:rStyle w:val="Hyperlink"/>
            <w:rFonts w:ascii="Times New Roman" w:hAnsi="Times New Roman"/>
            <w:b w:val="false"/>
            <w:i w:val="false"/>
            <w:color w:val="000000"/>
            <w:sz w:val="22"/>
          </w:rPr>
          <w:t>761—117.9</w:t>
        </w:r>
      </w:hyperlink>
      <w:r>
        <w:rPr>
          <w:rFonts w:ascii="Times New Roman" w:hAnsi="Times New Roman"/>
          <w:b w:val="false"/>
          <w:i w:val="false"/>
          <w:color w:val="000000"/>
          <w:sz w:val="22"/>
        </w:rPr>
        <w:t xml:space="preserve">(306B,306C).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117.5(2)</w:t>
      </w:r>
      <w:r>
        <w:rPr>
          <w:rFonts w:ascii="Times New Roman" w:hAnsi="Times New Roman"/>
          <w:b w:val="false"/>
          <w:i w:val="false"/>
          <w:color w:val="000000"/>
          <w:sz w:val="22"/>
        </w:rPr>
        <w:t> </w:t>
      </w:r>
      <w:r>
        <w:rPr>
          <w:rFonts w:ascii="Times New Roman" w:hAnsi="Times New Roman"/>
          <w:b w:val="false"/>
          <w:i/>
          <w:color w:val="000000"/>
          <w:sz w:val="22"/>
        </w:rPr>
        <w:t xml:space="preserve">Advertising devices erected after July 1, 1972. </w:t>
      </w:r>
      <w:r>
        <w:rPr>
          <w:rFonts w:ascii="Times New Roman" w:hAnsi="Times New Roman"/>
          <w:b w:val="false"/>
          <w:i w:val="false"/>
          <w:color w:val="000000"/>
          <w:sz w:val="22"/>
        </w:rPr>
        <w:t xml:space="preserve">Except as otherwise provided in subrule </w:t>
      </w:r>
      <w:hyperlink r:id="rId20">
        <w:r>
          <w:rPr>
            <w:rStyle w:val="Hyperlink"/>
            <w:rFonts w:ascii="Times New Roman" w:hAnsi="Times New Roman"/>
            <w:b w:val="false"/>
            <w:i w:val="false"/>
            <w:color w:val="000000"/>
            <w:sz w:val="22"/>
          </w:rPr>
          <w:t>117.2(4)</w:t>
        </w:r>
      </w:hyperlink>
      <w:r>
        <w:rPr>
          <w:rFonts w:ascii="Times New Roman" w:hAnsi="Times New Roman"/>
          <w:b w:val="false"/>
          <w:i w:val="false"/>
          <w:color w:val="000000"/>
          <w:sz w:val="22"/>
        </w:rPr>
        <w:t xml:space="preserve">, advertising devices shall not be erected after July 1, 1972, or subsequently maintained except for those that comply with Iowa Code chapters </w:t>
      </w:r>
      <w:hyperlink r:id="rId21">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and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Commercial or industrial area. </w:t>
      </w:r>
      <w:r>
        <w:rPr>
          <w:rFonts w:ascii="Times New Roman" w:hAnsi="Times New Roman"/>
          <w:b w:val="false"/>
          <w:i w:val="false"/>
          <w:color w:val="000000"/>
          <w:sz w:val="22"/>
        </w:rPr>
        <w:t>Eligible areas for permitting are limited to the following three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Adjacent to interstate highways; areas that are zoned and used for commercial or industrial purposes in accordance with Iowa Code section </w:t>
      </w:r>
      <w:hyperlink r:id="rId23">
        <w:r>
          <w:rPr>
            <w:rStyle w:val="Hyperlink"/>
            <w:rFonts w:ascii="Times New Roman" w:hAnsi="Times New Roman"/>
            <w:b w:val="false"/>
            <w:i w:val="false"/>
            <w:color w:val="000000"/>
            <w:sz w:val="22"/>
          </w:rPr>
          <w:t>306B.2</w:t>
        </w:r>
      </w:hyperlink>
      <w:r>
        <w:rPr>
          <w:rFonts w:ascii="Times New Roman" w:hAnsi="Times New Roman"/>
          <w:b w:val="false"/>
          <w:i w:val="false"/>
          <w:color w:val="000000"/>
          <w:sz w:val="22"/>
        </w:rPr>
        <w:t xml:space="preserve">; within 750 feet of the regularly used portion of a commercial or industrial activity visible from the main traveled way; and on the same individual, platted parcel of land as that commercial or industrial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Adjacent to noninterstate primary highways; areas that are zoned commercial or industrial.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Adjacent to noninterstate primary highways; areas that meet the definition of an unzoned commercial or industrial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Spacing. </w:t>
      </w:r>
      <w:r>
        <w:rPr>
          <w:rFonts w:ascii="Times New Roman" w:hAnsi="Times New Roman"/>
          <w:b w:val="false"/>
          <w:i w:val="false"/>
          <w:color w:val="000000"/>
          <w:sz w:val="22"/>
        </w:rPr>
        <w:t xml:space="preserve">In addition to the standards contained in Iowa Code sections </w:t>
      </w:r>
      <w:hyperlink r:id="rId24">
        <w:r>
          <w:rPr>
            <w:rStyle w:val="Hyperlink"/>
            <w:rFonts w:ascii="Times New Roman" w:hAnsi="Times New Roman"/>
            <w:b w:val="false"/>
            <w:i w:val="false"/>
            <w:color w:val="000000"/>
            <w:sz w:val="22"/>
          </w:rPr>
          <w:t>306B.2</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 the following requirements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Spacing standards apply to advertising devices for all highways from which the devices are visible, when more than one highway is in the vicinity of the advertising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Spacing standards default to unincorporated spacing when both incorporated and unincorporated areas exist within the adjacent area on either side of the highway. However, daylight spacing may be determined by whether the subject location itself is within or outside of the incorporated municipality.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devices subject to the daylight area spacing exemption in Iowa Code section </w:t>
      </w:r>
      <w:hyperlink r:id="rId26">
        <w:r>
          <w:rPr>
            <w:rStyle w:val="Hyperlink"/>
            <w:rFonts w:ascii="Times New Roman" w:hAnsi="Times New Roman"/>
            <w:b w:val="false"/>
            <w:i w:val="false"/>
            <w:color w:val="000000"/>
            <w:sz w:val="22"/>
          </w:rPr>
          <w:t>306C.13(5)</w:t>
        </w:r>
      </w:hyperlink>
      <w:r>
        <w:rPr>
          <w:rFonts w:ascii="Times New Roman" w:hAnsi="Times New Roman"/>
          <w:b w:val="false"/>
          <w:i w:val="false"/>
          <w:color w:val="000000"/>
          <w:sz w:val="22"/>
        </w:rPr>
        <w:t xml:space="preserve"> are considered in conformity with that Iowa Code section if the catwalk or light ballasts extend out further than the 12 inches specified, provided such parts do not overhang the right-of-way. If the building from which the device is mounted is removed, the permit is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Applications for advertising devices proposed in a location that meets the spacing requirements for that location, but that create a nonconformity to exist with another permitted advertising device, will be denied or adjusted so that the nonconformity is not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advertising devices are eligible for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 face devices; one permit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Back-to-back devices; two permits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V-type devices with the inside angle formed by the two faces not exceeding 60 degrees so that both faces are not readable upon approach; two permits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Devices commonly referred to as side-by-sides or double-decks are classified as either single face, back-to-back, or v-type, as provided in this paragraph. However, provisions do not exist for panels of copy that may be oriented in the same direction, but that are not lined up on the same vertical and horizontal planes, or that are not physically connected to the same structure with more than two feet of distance between them, or that are owned by different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Tri-face devices are classified as v-type devices for permitted purposes from the primary highway in which the two faces are visible. If visibility of the third face exists due to a turn in the highway or another primary highway exists in the vicinity, a third permit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Tri-vision devices, with a rotation occurring not more rapidly than four seconds for each display, are classified as either single face, back-to-back, or v-type, as provided in this paragraph, depending upon the structure.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761—117.6</w:t>
      </w:r>
      <w:r>
        <w:rPr>
          <w:rFonts w:ascii="Times New Roman" w:hAnsi="Times New Roman"/>
          <w:b/>
          <w:i w:val="false"/>
          <w:color w:val="000000"/>
          <w:sz w:val="22"/>
        </w:rPr>
        <w:t xml:space="preserve">(306C) </w:t>
      </w:r>
      <w:r>
        <w:rPr>
          <w:rFonts w:ascii="Times New Roman" w:hAnsi="Times New Roman"/>
          <w:b/>
          <w:i w:val="false"/>
          <w:color w:val="000000"/>
          <w:sz w:val="22"/>
        </w:rPr>
        <w:t xml:space="preserve">Outdoor advertising permits and fees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Application for a permit for any advertising device subject to subrule </w:t>
      </w:r>
      <w:hyperlink r:id="rId27">
        <w:r>
          <w:rPr>
            <w:rStyle w:val="Hyperlink"/>
            <w:rFonts w:ascii="Times New Roman" w:hAnsi="Times New Roman"/>
            <w:b w:val="false"/>
            <w:i w:val="false"/>
            <w:color w:val="000000"/>
            <w:sz w:val="22"/>
          </w:rPr>
          <w:t>117.2(1)</w:t>
        </w:r>
      </w:hyperlink>
      <w:r>
        <w:rPr>
          <w:rFonts w:ascii="Times New Roman" w:hAnsi="Times New Roman"/>
          <w:b w:val="false"/>
          <w:i w:val="false"/>
          <w:color w:val="000000"/>
          <w:sz w:val="22"/>
        </w:rPr>
        <w:t xml:space="preserve"> shall be made in accordance with Iowa Code section </w:t>
      </w:r>
      <w:hyperlink r:id="rId28">
        <w:r>
          <w:rPr>
            <w:rStyle w:val="Hyperlink"/>
            <w:rFonts w:ascii="Times New Roman" w:hAnsi="Times New Roman"/>
            <w:b w:val="false"/>
            <w:i w:val="false"/>
            <w:color w:val="000000"/>
            <w:sz w:val="22"/>
          </w:rPr>
          <w:t>306C.18</w:t>
        </w:r>
      </w:hyperlink>
      <w:r>
        <w:rPr>
          <w:rFonts w:ascii="Times New Roman" w:hAnsi="Times New Roman"/>
          <w:b w:val="false"/>
          <w:i w:val="false"/>
          <w:color w:val="000000"/>
          <w:sz w:val="22"/>
        </w:rPr>
        <w:t xml:space="preserve"> within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or before July 31, 1972, for advertising devices in existence on July 1, 1972.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erection of the advertising device, if erected after July 1, 1972.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receiving notice from the department that a lawfully erected advertising device that was not subject to subrule </w:t>
      </w:r>
      <w:hyperlink r:id="rId29">
        <w:r>
          <w:rPr>
            <w:rStyle w:val="Hyperlink"/>
            <w:rFonts w:ascii="Times New Roman" w:hAnsi="Times New Roman"/>
            <w:b w:val="false"/>
            <w:i w:val="false"/>
            <w:color w:val="000000"/>
            <w:sz w:val="22"/>
          </w:rPr>
          <w:t>117.2(1)</w:t>
        </w:r>
      </w:hyperlink>
      <w:r>
        <w:rPr>
          <w:rFonts w:ascii="Times New Roman" w:hAnsi="Times New Roman"/>
          <w:b w:val="false"/>
          <w:i w:val="false"/>
          <w:color w:val="000000"/>
          <w:sz w:val="22"/>
        </w:rPr>
        <w:t xml:space="preserve"> has become subject to subrule </w:t>
      </w:r>
      <w:hyperlink r:id="rId30">
        <w:r>
          <w:rPr>
            <w:rStyle w:val="Hyperlink"/>
            <w:rFonts w:ascii="Times New Roman" w:hAnsi="Times New Roman"/>
            <w:b w:val="false"/>
            <w:i w:val="false"/>
            <w:color w:val="000000"/>
            <w:sz w:val="22"/>
          </w:rPr>
          <w:t>117.2(1)</w:t>
        </w:r>
      </w:hyperlink>
      <w:r>
        <w:rPr>
          <w:rFonts w:ascii="Times New Roman" w:hAnsi="Times New Roman"/>
          <w:b w:val="false"/>
          <w:i w:val="false"/>
          <w:color w:val="000000"/>
          <w:sz w:val="22"/>
        </w:rPr>
        <w:t xml:space="preserve"> for reasons including but not limited to the establishment of a new primary highway or a change in the designation of a roadway to a 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Fees are applicable to all advertising devices measuring over 32 square feet in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initial fee, payable at the time of application, is $100 per permit. This fee is not refundable unless the application is withdrawn prior to the department’s field review of the proposed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annual renewal fee for each permit, due on or before June 30 of each year, is as follows: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Area of Sign</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Annual Renewal Fee</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33 to 375 square feet</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376 to 999 square feet</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 square feet or more</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payment of an annual renewal fee, if postmarked on or before June 30 of each year or otherwise delivered to the department on or before June 30 of each year, automatically renews the existing permit for the device for which the fee was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permit for which the fee was not paid in a timely manner expires on July 1 of each year. If an advertising device is still in existence, it is considered abandoned. If the owner wishes to reapply for a permit to retain the device, the device and location will be reviewed in the same way that a review is conducted for a newly proposed advertising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Renewal fees are not refundable and are not prorated.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117.6(3)</w:t>
      </w:r>
      <w:r>
        <w:rPr>
          <w:rFonts w:ascii="Times New Roman" w:hAnsi="Times New Roman"/>
          <w:b w:val="false"/>
          <w:i w:val="false"/>
          <w:color w:val="000000"/>
          <w:sz w:val="22"/>
        </w:rPr>
        <w:t> </w:t>
      </w:r>
      <w:r>
        <w:rPr>
          <w:rFonts w:ascii="Times New Roman" w:hAnsi="Times New Roman"/>
          <w:b w:val="false"/>
          <w:i/>
          <w:color w:val="000000"/>
          <w:sz w:val="22"/>
        </w:rPr>
        <w:t xml:space="preserve">Highway improvement projects. </w:t>
      </w:r>
      <w:r>
        <w:rPr>
          <w:rFonts w:ascii="Times New Roman" w:hAnsi="Times New Roman"/>
          <w:b w:val="false"/>
          <w:i w:val="false"/>
          <w:color w:val="000000"/>
          <w:sz w:val="22"/>
        </w:rPr>
        <w:t>The department shall not prevent nor unnecessarily delay the issuance of a permit for the reason of a proposed future highway improvement project, except under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property upon which the advertising device is proposed has been appraised for the purposes of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by department staff has been made with the property owner regarding compensation for the 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placement of the advertising device would fail to meet the requirements of an existing corridor preservation plan in effect for the proposed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construction contract for the project has been initiated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117.6(4)</w:t>
      </w:r>
      <w:r>
        <w:rPr>
          <w:rFonts w:ascii="Times New Roman" w:hAnsi="Times New Roman"/>
          <w:b w:val="false"/>
          <w:i w:val="false"/>
          <w:color w:val="000000"/>
          <w:sz w:val="22"/>
        </w:rPr>
        <w:t> </w:t>
      </w:r>
      <w:r>
        <w:rPr>
          <w:rFonts w:ascii="Times New Roman" w:hAnsi="Times New Roman"/>
          <w:b w:val="false"/>
          <w:i/>
          <w:color w:val="000000"/>
          <w:sz w:val="22"/>
        </w:rPr>
        <w:t xml:space="preserve">Permit plate. </w:t>
      </w:r>
      <w:r>
        <w:rPr>
          <w:rFonts w:ascii="Times New Roman" w:hAnsi="Times New Roman"/>
          <w:b w:val="false"/>
          <w:i w:val="false"/>
          <w:color w:val="000000"/>
          <w:sz w:val="22"/>
        </w:rPr>
        <w:t xml:space="preserve">Upon approval of the application, the department will issue a numbered metal permit plate for the advertising face. This permit plate shall be securely attached to the advertising device in a manner that the plate is unobstructed from view from the highway. If the plate is not displayed, the department may provide notice to the owner that the plate is to be displayed within 90 days. If after that period of time the plate is not displayed, the department may cancel the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117.6(5)</w:t>
      </w:r>
      <w:r>
        <w:rPr>
          <w:rFonts w:ascii="Times New Roman" w:hAnsi="Times New Roman"/>
          <w:b w:val="false"/>
          <w:i w:val="false"/>
          <w:color w:val="000000"/>
          <w:sz w:val="22"/>
        </w:rPr>
        <w:t> </w:t>
      </w:r>
      <w:r>
        <w:rPr>
          <w:rFonts w:ascii="Times New Roman" w:hAnsi="Times New Roman"/>
          <w:b w:val="false"/>
          <w:i/>
          <w:color w:val="000000"/>
          <w:sz w:val="22"/>
        </w:rPr>
        <w:t xml:space="preserve">Reconstruction or modification. </w:t>
      </w:r>
      <w:r>
        <w:rPr>
          <w:rFonts w:ascii="Times New Roman" w:hAnsi="Times New Roman"/>
          <w:b w:val="false"/>
          <w:i w:val="false"/>
          <w:color w:val="000000"/>
          <w:sz w:val="22"/>
        </w:rPr>
        <w:t>A new permit is required from the department prior to the reconstruction or modification of a permitted advertising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applications will be reviewed for compliance with Iowa Code chapter </w:t>
      </w:r>
      <w:hyperlink r:id="rId31">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and this chapter; nonconforming signs are not eligible for permit approval for reconstruction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Reconstruction or modification of an advertising device prior to the issuance of the permit needed to conduct such action shall result in revocation of the existing permit that has been issued for the advertising device. This may result in the removal of the advertising device in the manner specified in subrule </w:t>
      </w:r>
      <w:hyperlink r:id="rId32">
        <w:r>
          <w:rPr>
            <w:rStyle w:val="Hyperlink"/>
            <w:rFonts w:ascii="Times New Roman" w:hAnsi="Times New Roman"/>
            <w:b w:val="false"/>
            <w:i w:val="false"/>
            <w:color w:val="000000"/>
            <w:sz w:val="22"/>
          </w:rPr>
          <w:t>117.8(1)</w:t>
        </w:r>
      </w:hyperlink>
      <w:r>
        <w:rPr>
          <w:rFonts w:ascii="Times New Roman" w:hAnsi="Times New Roman"/>
          <w:b w:val="false"/>
          <w:i w:val="false"/>
          <w:color w:val="000000"/>
          <w:sz w:val="22"/>
        </w:rPr>
        <w:t xml:space="preserve"> if the device is not eligible for permitting in accordance with this chapter or Iowa Code chapter </w:t>
      </w:r>
      <w:hyperlink r:id="rId33">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117.6(6)</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 xml:space="preserve">Access to the private property upon which an advertising device is located shall be gained only from legal accessways through private property, local streets, secondary roads, or from the primary highway right-of-way through access points designated or allowed by the department in accordance with </w:t>
      </w:r>
      <w:hyperlink r:id="rId35">
        <w:r>
          <w:rPr>
            <w:rStyle w:val="Hyperlink"/>
            <w:rFonts w:ascii="Times New Roman" w:hAnsi="Times New Roman"/>
            <w:b w:val="false"/>
            <w:i w:val="false"/>
            <w:color w:val="000000"/>
            <w:sz w:val="22"/>
          </w:rPr>
          <w:t>761—Chapter 112</w:t>
        </w:r>
      </w:hyperlink>
      <w:r>
        <w:rPr>
          <w:rFonts w:ascii="Times New Roman" w:hAnsi="Times New Roman"/>
          <w:b w:val="false"/>
          <w:i w:val="false"/>
          <w:color w:val="000000"/>
          <w:sz w:val="22"/>
        </w:rPr>
        <w:t xml:space="preserve">. Unauthorized use of the primary highway right-of-way for the purpose of constructing or maintaining an advertising device may be cause for permit revocation and removal of the device. The department will issue a warning letter to the owner of the permit following the first instance of unauthorized use; a second instance will result in the revocation of the permit followed by a 12-month period where no new permits may be issued to that person or entity in the same location, or within 500 feet of the same location. The existing device for which the permit was revoked is subject to removal in accordance with Iowa Code section </w:t>
      </w:r>
      <w:hyperlink r:id="rId36">
        <w:r>
          <w:rPr>
            <w:rStyle w:val="Hyperlink"/>
            <w:rFonts w:ascii="Times New Roman" w:hAnsi="Times New Roman"/>
            <w:b w:val="false"/>
            <w:i w:val="false"/>
            <w:color w:val="000000"/>
            <w:sz w:val="22"/>
          </w:rPr>
          <w:t>306C.19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117.6(7)</w:t>
      </w:r>
      <w:r>
        <w:rPr>
          <w:rFonts w:ascii="Times New Roman" w:hAnsi="Times New Roman"/>
          <w:b w:val="false"/>
          <w:i w:val="false"/>
          <w:color w:val="000000"/>
          <w:sz w:val="22"/>
        </w:rPr>
        <w:t> </w:t>
      </w:r>
      <w:r>
        <w:rPr>
          <w:rFonts w:ascii="Times New Roman" w:hAnsi="Times New Roman"/>
          <w:b w:val="false"/>
          <w:i/>
          <w:color w:val="000000"/>
          <w:sz w:val="22"/>
        </w:rPr>
        <w:t xml:space="preserve">Vegetation in the right-of-way. </w:t>
      </w:r>
      <w:r>
        <w:rPr>
          <w:rFonts w:ascii="Times New Roman" w:hAnsi="Times New Roman"/>
          <w:b w:val="false"/>
          <w:i w:val="false"/>
          <w:color w:val="000000"/>
          <w:sz w:val="22"/>
        </w:rPr>
        <w:t xml:space="preserve">No vegetation in the right-of-way may be removed, trimmed, poisoned, or altered so that the viewing time can be improved for an advertising device, unless written authorization is received from the department and the conditions included in the authorization are followed. Proceeding to remove, trim, poison, or alter vegetation without such authorization may result in the revocation of the permit for the device and the removal of the device in accordance with subrule </w:t>
      </w:r>
      <w:hyperlink r:id="rId37">
        <w:r>
          <w:rPr>
            <w:rStyle w:val="Hyperlink"/>
            <w:rFonts w:ascii="Times New Roman" w:hAnsi="Times New Roman"/>
            <w:b w:val="false"/>
            <w:i w:val="false"/>
            <w:color w:val="000000"/>
            <w:sz w:val="22"/>
          </w:rPr>
          <w:t>117.8(1)</w:t>
        </w:r>
      </w:hyperlink>
      <w:r>
        <w:rPr>
          <w:rFonts w:ascii="Times New Roman" w:hAnsi="Times New Roman"/>
          <w:b w:val="false"/>
          <w:i w:val="false"/>
          <w:color w:val="000000"/>
          <w:sz w:val="22"/>
        </w:rPr>
        <w:t xml:space="preserve">. In addition, the department may suspend permit approvals for a 12-month period for any location within 500 feet of the location of the former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117.6(8)</w:t>
      </w:r>
      <w:r>
        <w:rPr>
          <w:rFonts w:ascii="Times New Roman" w:hAnsi="Times New Roman"/>
          <w:b w:val="false"/>
          <w:i w:val="false"/>
          <w:color w:val="000000"/>
          <w:sz w:val="22"/>
        </w:rPr>
        <w:t> </w:t>
      </w:r>
      <w:r>
        <w:rPr>
          <w:rFonts w:ascii="Times New Roman" w:hAnsi="Times New Roman"/>
          <w:b w:val="false"/>
          <w:i/>
          <w:color w:val="000000"/>
          <w:sz w:val="22"/>
        </w:rPr>
        <w:t xml:space="preserve">Use and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period of time in which an advertising device may qualify as a blank sign is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period of time in which an advertising device may have illegible copy or be in a state of disrepair is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an advertising device has been blank for a period of time exceeding six months, or has illegible copy or is in a state of disrepair for a period of time exceeding 90 days, the department may issue a notice pursuant to rule </w:t>
      </w:r>
      <w:hyperlink r:id="rId38">
        <w:r>
          <w:rPr>
            <w:rStyle w:val="Hyperlink"/>
            <w:rFonts w:ascii="Times New Roman" w:hAnsi="Times New Roman"/>
            <w:b w:val="false"/>
            <w:i w:val="false"/>
            <w:color w:val="000000"/>
            <w:sz w:val="22"/>
          </w:rPr>
          <w:t>761—117.8</w:t>
        </w:r>
      </w:hyperlink>
      <w:r>
        <w:rPr>
          <w:rFonts w:ascii="Times New Roman" w:hAnsi="Times New Roman"/>
          <w:b w:val="false"/>
          <w:i w:val="false"/>
          <w:color w:val="000000"/>
          <w:sz w:val="22"/>
        </w:rPr>
        <w:t>(306B,306C) in which the owner has 30 days to either cause it to conform or to remove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117.6(9)</w:t>
      </w:r>
      <w:r>
        <w:rPr>
          <w:rFonts w:ascii="Times New Roman" w:hAnsi="Times New Roman"/>
          <w:b w:val="false"/>
          <w:i w:val="false"/>
          <w:color w:val="000000"/>
          <w:sz w:val="22"/>
        </w:rPr>
        <w:t> </w:t>
      </w:r>
      <w:r>
        <w:rPr>
          <w:rFonts w:ascii="Times New Roman" w:hAnsi="Times New Roman"/>
          <w:b w:val="false"/>
          <w:i/>
          <w:color w:val="000000"/>
          <w:sz w:val="22"/>
        </w:rPr>
        <w:t xml:space="preserve">Destroyed 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for an advertising device that has been destroyed will automatically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advertising device that has been destroyed is in a condition that, if repaired, would meet the definition of reconstruction in Iowa Code section </w:t>
      </w:r>
      <w:hyperlink r:id="rId39">
        <w:r>
          <w:rPr>
            <w:rStyle w:val="Hyperlink"/>
            <w:rFonts w:ascii="Times New Roman" w:hAnsi="Times New Roman"/>
            <w:b w:val="false"/>
            <w:i w:val="false"/>
            <w:color w:val="000000"/>
            <w:sz w:val="22"/>
          </w:rPr>
          <w:t>306C.10</w:t>
        </w:r>
      </w:hyperlink>
      <w:r>
        <w:rPr>
          <w:rFonts w:ascii="Times New Roman" w:hAnsi="Times New Roman"/>
          <w:b w:val="false"/>
          <w:i w:val="false"/>
          <w:color w:val="000000"/>
          <w:sz w:val="22"/>
        </w:rPr>
        <w:t xml:space="preserve"> and is subject to subrule </w:t>
      </w:r>
      <w:hyperlink r:id="rId40">
        <w:r>
          <w:rPr>
            <w:rStyle w:val="Hyperlink"/>
            <w:rFonts w:ascii="Times New Roman" w:hAnsi="Times New Roman"/>
            <w:b w:val="false"/>
            <w:i w:val="false"/>
            <w:color w:val="000000"/>
            <w:sz w:val="22"/>
          </w:rPr>
          <w:t>117.6(5)</w:t>
        </w:r>
      </w:hyperlink>
      <w:r>
        <w:rPr>
          <w:rFonts w:ascii="Times New Roman" w:hAnsi="Times New Roman"/>
          <w:b w:val="false"/>
          <w:i w:val="false"/>
          <w:color w:val="000000"/>
          <w:sz w:val="22"/>
        </w:rPr>
        <w:t xml:space="preserve">. Whether the device can be reconstructed will depend upon whether it conforms to this chapter and Iowa Code chapters </w:t>
      </w:r>
      <w:hyperlink r:id="rId41">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advertising device that has been damaged, but not destroyed, may be repaired. The repair is not deemed an act of reconstruction.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761—117.7</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761—117.8</w:t>
      </w:r>
      <w:r>
        <w:rPr>
          <w:rFonts w:ascii="Times New Roman" w:hAnsi="Times New Roman"/>
          <w:b/>
          <w:i w:val="false"/>
          <w:color w:val="000000"/>
          <w:sz w:val="22"/>
        </w:rPr>
        <w:t xml:space="preserve">(306B,306C) </w:t>
      </w:r>
      <w:r>
        <w:rPr>
          <w:rFonts w:ascii="Times New Roman" w:hAnsi="Times New Roman"/>
          <w:b/>
          <w:i w:val="false"/>
          <w:color w:val="000000"/>
          <w:sz w:val="22"/>
        </w:rPr>
        <w:t xml:space="preserve">Removal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117.8(1)</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devices subject to this chapter that have been abandoned, or illegally erected or maintained, may be removed, or caused to be removed, by the department after 30 days’ notice in accordance with Iowa Code section </w:t>
      </w:r>
      <w:hyperlink r:id="rId43">
        <w:r>
          <w:rPr>
            <w:rStyle w:val="Hyperlink"/>
            <w:rFonts w:ascii="Times New Roman" w:hAnsi="Times New Roman"/>
            <w:b w:val="false"/>
            <w:i w:val="false"/>
            <w:color w:val="000000"/>
            <w:sz w:val="22"/>
          </w:rPr>
          <w:t>306C.19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117.8(2)</w:t>
      </w:r>
      <w:r>
        <w:rPr>
          <w:rFonts w:ascii="Times New Roman" w:hAnsi="Times New Roman"/>
          <w:b w:val="false"/>
          <w:i w:val="false"/>
          <w:color w:val="000000"/>
          <w:sz w:val="22"/>
        </w:rPr>
        <w:t> </w:t>
      </w:r>
      <w:r>
        <w:rPr>
          <w:rFonts w:ascii="Times New Roman" w:hAnsi="Times New Roman"/>
          <w:b w:val="false"/>
          <w:i w:val="false"/>
          <w:color w:val="000000"/>
          <w:sz w:val="22"/>
        </w:rPr>
        <w:t>Advertising devices removed by the department may be reused, scrapped or disposed of by the department with no compensation paid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117.8(3)</w:t>
      </w:r>
      <w:r>
        <w:rPr>
          <w:rFonts w:ascii="Times New Roman" w:hAnsi="Times New Roman"/>
          <w:b w:val="false"/>
          <w:i w:val="false"/>
          <w:color w:val="000000"/>
          <w:sz w:val="22"/>
        </w:rPr>
        <w:t> </w:t>
      </w:r>
      <w:r>
        <w:rPr>
          <w:rFonts w:ascii="Times New Roman" w:hAnsi="Times New Roman"/>
          <w:b w:val="false"/>
          <w:i w:val="false"/>
          <w:color w:val="000000"/>
          <w:sz w:val="22"/>
        </w:rPr>
        <w:t>Revocation of a permit may be included as part of the 30 days’ notice, if served by restricted certified mail or by personal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761—117.9</w:t>
      </w:r>
      <w:r>
        <w:rPr>
          <w:rFonts w:ascii="Times New Roman" w:hAnsi="Times New Roman"/>
          <w:b/>
          <w:i w:val="false"/>
          <w:color w:val="000000"/>
          <w:sz w:val="22"/>
        </w:rPr>
        <w:t xml:space="preserve">(306B,306C) </w:t>
      </w:r>
      <w:r>
        <w:rPr>
          <w:rFonts w:ascii="Times New Roman" w:hAnsi="Times New Roman"/>
          <w:b/>
          <w:i w:val="false"/>
          <w:color w:val="000000"/>
          <w:sz w:val="22"/>
        </w:rPr>
        <w:t xml:space="preserve">Acquisition of advertising devices that have been issued provisional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117.9(1)</w:t>
      </w:r>
      <w:r>
        <w:rPr>
          <w:rFonts w:ascii="Times New Roman" w:hAnsi="Times New Roman"/>
          <w:b w:val="false"/>
          <w:i w:val="false"/>
          <w:color w:val="000000"/>
          <w:sz w:val="22"/>
        </w:rPr>
        <w:t> </w:t>
      </w:r>
      <w:r>
        <w:rPr>
          <w:rFonts w:ascii="Times New Roman" w:hAnsi="Times New Roman"/>
          <w:b w:val="false"/>
          <w:i w:val="false"/>
          <w:color w:val="000000"/>
          <w:sz w:val="22"/>
        </w:rPr>
        <w:t>The department will acquire an advertising device for which a provisional permit has been issued only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Acquisition is required by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necessary federal and state funding is available for the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permit has not been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117.9(2)</w:t>
      </w:r>
      <w:r>
        <w:rPr>
          <w:rFonts w:ascii="Times New Roman" w:hAnsi="Times New Roman"/>
          <w:b w:val="false"/>
          <w:i w:val="false"/>
          <w:color w:val="000000"/>
          <w:sz w:val="22"/>
        </w:rPr>
        <w:t> </w:t>
      </w:r>
      <w:r>
        <w:rPr>
          <w:rFonts w:ascii="Times New Roman" w:hAnsi="Times New Roman"/>
          <w:b w:val="false"/>
          <w:i w:val="false"/>
          <w:color w:val="000000"/>
          <w:sz w:val="22"/>
        </w:rPr>
        <w:t>If the advertising device will be acquired, the department will use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notice of the department’s intent to revoke the provisional permit and acquire the device will be mailed or delivered to the owner of the advertising device and to the owner of the land upon which the device is located. The notice will include an offer to purchase the advertising device. If good-faith negotiations with the owner of the device and the owner of the land upon which the device is located do not result in a mutually agreeable sale price, the department may revoke the provisional permit and initiate condemnation proceedings as provided in Iowa Code chapter </w:t>
      </w:r>
      <w:hyperlink r:id="rId44">
        <w:r>
          <w:rPr>
            <w:rStyle w:val="Hyperlink"/>
            <w:rFonts w:ascii="Times New Roman" w:hAnsi="Times New Roman"/>
            <w:b w:val="false"/>
            <w:i w:val="false"/>
            <w:color w:val="000000"/>
            <w:sz w:val="22"/>
          </w:rPr>
          <w:t>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of condemnation, possession will be taken of the advertising device as soon as the award has been deposited with the sheriff.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761—117.10</w:t>
      </w:r>
      <w:r>
        <w:rPr>
          <w:rFonts w:ascii="Times New Roman" w:hAnsi="Times New Roman"/>
          <w:b/>
          <w:i w:val="false"/>
          <w:color w:val="000000"/>
          <w:sz w:val="22"/>
        </w:rPr>
        <w:t xml:space="preserve">(17A,306C) </w:t>
      </w:r>
      <w:r>
        <w:rPr>
          <w:rFonts w:ascii="Times New Roman" w:hAnsi="Times New Roman"/>
          <w:b/>
          <w:i w:val="false"/>
          <w:color w:val="000000"/>
          <w:sz w:val="22"/>
        </w:rPr>
        <w:t xml:space="preserve">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been denied an outdoor advertising permit by the department may timely contest the decision in accordance with </w:t>
      </w:r>
      <w:hyperlink r:id="rId45">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A request is considered timely if submitted in writing to the director of the traffic and safety bureau at the address in subrule </w:t>
      </w:r>
      <w:hyperlink r:id="rId46">
        <w:r>
          <w:rPr>
            <w:rStyle w:val="Hyperlink"/>
            <w:rFonts w:ascii="Times New Roman" w:hAnsi="Times New Roman"/>
            <w:b w:val="false"/>
            <w:i w:val="false"/>
            <w:color w:val="000000"/>
            <w:sz w:val="22"/>
          </w:rPr>
          <w:t>117.2(3)</w:t>
        </w:r>
      </w:hyperlink>
      <w:r>
        <w:rPr>
          <w:rFonts w:ascii="Times New Roman" w:hAnsi="Times New Roman"/>
          <w:b w:val="false"/>
          <w:i w:val="false"/>
          <w:color w:val="000000"/>
          <w:sz w:val="22"/>
        </w:rPr>
        <w:t xml:space="preserve"> and delivered or postmarked within 30 days of the department’s mailing of the letter denying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 outdoor advertising permit that has been revoked or canceled by the department may timely contest the decision in accordance with </w:t>
      </w:r>
      <w:hyperlink r:id="rId47">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A request is considered timely if submitted in writing to the director of the traffic and safety bureau at the address in subrule </w:t>
      </w:r>
      <w:hyperlink r:id="rId48">
        <w:r>
          <w:rPr>
            <w:rStyle w:val="Hyperlink"/>
            <w:rFonts w:ascii="Times New Roman" w:hAnsi="Times New Roman"/>
            <w:b w:val="false"/>
            <w:i w:val="false"/>
            <w:color w:val="000000"/>
            <w:sz w:val="22"/>
          </w:rPr>
          <w:t>117.2(3)</w:t>
        </w:r>
      </w:hyperlink>
      <w:r>
        <w:rPr>
          <w:rFonts w:ascii="Times New Roman" w:hAnsi="Times New Roman"/>
          <w:b w:val="false"/>
          <w:i w:val="false"/>
          <w:color w:val="000000"/>
          <w:sz w:val="22"/>
        </w:rPr>
        <w:t xml:space="preserve"> and delivered or postmarked within 30 days of the owner’s receipt of the revocation notice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117.10(3)</w:t>
      </w:r>
      <w:r>
        <w:rPr>
          <w:rFonts w:ascii="Times New Roman" w:hAnsi="Times New Roman"/>
          <w:b w:val="false"/>
          <w:i w:val="false"/>
          <w:color w:val="000000"/>
          <w:sz w:val="22"/>
        </w:rPr>
        <w:t> </w:t>
      </w:r>
      <w:r>
        <w:rPr>
          <w:rFonts w:ascii="Times New Roman" w:hAnsi="Times New Roman"/>
          <w:b w:val="false"/>
          <w:i w:val="false"/>
          <w:color w:val="000000"/>
          <w:sz w:val="22"/>
        </w:rPr>
        <w:t>Failure to timely request a hearing on the denial, revocation, or cancellation of a permit is a waiver of the right to a hearing and a failure to exhaust administrative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9">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and section </w:t>
      </w:r>
      <w:hyperlink r:id="rId51">
        <w:r>
          <w:rPr>
            <w:rStyle w:val="Hyperlink"/>
            <w:rFonts w:ascii="Times New Roman" w:hAnsi="Times New Roman"/>
            <w:b w:val="false"/>
            <w:i w:val="false"/>
            <w:color w:val="000000"/>
            <w:sz w:val="22"/>
          </w:rPr>
          <w:t>306D.4</w:t>
        </w:r>
      </w:hyperlink>
      <w:r>
        <w:rPr>
          <w:rFonts w:ascii="Times New Roman" w:hAnsi="Times New Roman"/>
          <w:b w:val="false"/>
          <w:i w:val="false"/>
          <w:color w:val="000000"/>
          <w:sz w:val="22"/>
        </w:rPr>
        <w:t xml:space="preserve"> and 23 U.S.C. Section 131 and 23 CFR Section 750.705.</w:t>
      </w:r>
    </w:p>
    <w:p>
      <w:pPr>
        <w:spacing w:before="0" w:after="0"/>
        <w:ind w:left="120"/>
        <w:jc w:val="center"/>
      </w:pPr>
      <w:r>
        <w:rPr>
          <w:rFonts w:ascii="Times New Roman" w:hAnsi="Times New Roman"/>
          <w:b w:val="false"/>
          <w:i w:val="false"/>
          <w:color w:val="000000"/>
          <w:sz w:val="21"/>
        </w:rPr>
        <w:t xml:space="preserve">[Filed 5/18/66; </w:t>
      </w:r>
      <w:hyperlink r:id="rId52">
        <w:r>
          <w:rPr>
            <w:rStyle w:val="Hyperlink"/>
            <w:rFonts w:ascii="Times New Roman" w:hAnsi="Times New Roman"/>
            <w:b w:val="false"/>
            <w:i w:val="false"/>
            <w:color w:val="000000"/>
            <w:sz w:val="21"/>
          </w:rPr>
          <w:t>761—Chapter 117</w:t>
        </w:r>
      </w:hyperlink>
      <w:r>
        <w:rPr>
          <w:rFonts w:ascii="Times New Roman" w:hAnsi="Times New Roman"/>
          <w:b w:val="false"/>
          <w:i w:val="false"/>
          <w:color w:val="000000"/>
          <w:sz w:val="21"/>
        </w:rPr>
        <w:t xml:space="preserve"> appeared as Ch 5, Highway Commission, 1973 IDR: amended January 1974 and January 1975 Supplements; amended 11/22/67, 9/27/73, 10/8/74, 12/4/74]</w:t>
      </w:r>
    </w:p>
    <w:p>
      <w:pPr>
        <w:spacing w:before="0" w:after="0"/>
        <w:ind w:left="120"/>
        <w:jc w:val="center"/>
      </w:pPr>
      <w:r>
        <w:rPr>
          <w:rFonts w:ascii="Times New Roman" w:hAnsi="Times New Roman"/>
          <w:b w:val="false"/>
          <w:i w:val="false"/>
          <w:color w:val="000000"/>
          <w:sz w:val="21"/>
        </w:rPr>
        <w:t>[Filed 5/11/87, Notice 3/11/87—published 6/3/87, effective 7/8/87]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5/22/96 after Notice 3/13/96—published 6/19/96, effective 5/23/96]</w:t>
      </w:r>
    </w:p>
    <w:p>
      <w:pPr>
        <w:spacing w:before="0" w:after="0"/>
        <w:ind w:left="120"/>
        <w:jc w:val="center"/>
      </w:pPr>
      <w:r>
        <w:rPr>
          <w:rFonts w:ascii="Times New Roman" w:hAnsi="Times New Roman"/>
          <w:b w:val="false"/>
          <w:i w:val="false"/>
          <w:color w:val="000000"/>
          <w:sz w:val="21"/>
        </w:rPr>
        <w:t>[Filed 5/23/96, Notice 3/13/96—published 6/19/96, effective 7/24/96]</w:t>
      </w:r>
    </w:p>
    <w:p>
      <w:pPr>
        <w:spacing w:before="0" w:after="0"/>
        <w:ind w:left="120"/>
        <w:jc w:val="center"/>
      </w:pPr>
      <w:r>
        <w:rPr>
          <w:rFonts w:ascii="Times New Roman" w:hAnsi="Times New Roman"/>
          <w:b w:val="false"/>
          <w:i w:val="false"/>
          <w:color w:val="000000"/>
          <w:sz w:val="21"/>
        </w:rPr>
        <w:t>[Filed 3/10/99, Notice 1/27/99—published 4/7/99, effective 5/12/99]</w:t>
      </w:r>
    </w:p>
    <w:p>
      <w:pPr>
        <w:spacing w:before="0" w:after="0"/>
        <w:ind w:left="120"/>
        <w:jc w:val="center"/>
      </w:pPr>
      <w:r>
        <w:rPr>
          <w:rFonts w:ascii="Times New Roman" w:hAnsi="Times New Roman"/>
          <w:b w:val="false"/>
          <w:i w:val="false"/>
          <w:color w:val="000000"/>
          <w:sz w:val="21"/>
        </w:rPr>
        <w:t>[Filed 11/7/02, Notice 9/4/02—published 11/27/02, effective 1/1/03]</w:t>
      </w:r>
    </w:p>
    <w:p>
      <w:pPr>
        <w:spacing w:before="0" w:after="0"/>
        <w:ind w:left="120"/>
        <w:jc w:val="center"/>
      </w:pPr>
      <w:r>
        <w:rPr>
          <w:rFonts w:ascii="Times New Roman" w:hAnsi="Times New Roman"/>
          <w:b w:val="false"/>
          <w:i w:val="false"/>
          <w:color w:val="000000"/>
          <w:sz w:val="21"/>
        </w:rPr>
        <w:t>[Filed 7/13/04, Notice 5/26/04—published 8/4/04, effective 9/8/04]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1/25/12</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2645C</w:t>
      </w:r>
      <w:r>
        <w:rPr>
          <w:rFonts w:ascii="Times New Roman" w:hAnsi="Times New Roman"/>
          <w:b w:val="false"/>
          <w:i w:val="false"/>
          <w:color w:val="000000"/>
          <w:sz w:val="21"/>
        </w:rPr>
        <w:t xml:space="preserve"> (Notice ARC 2543C, IAB 5/25/16)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4984C</w:t>
      </w:r>
      <w:r>
        <w:rPr>
          <w:rFonts w:ascii="Times New Roman" w:hAnsi="Times New Roman"/>
          <w:b w:val="false"/>
          <w:i w:val="false"/>
          <w:color w:val="000000"/>
          <w:sz w:val="21"/>
        </w:rPr>
        <w:t xml:space="preserve"> (Notice ARC 4868C,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6020C</w:t>
      </w:r>
      <w:r>
        <w:rPr>
          <w:rFonts w:ascii="Times New Roman" w:hAnsi="Times New Roman"/>
          <w:b w:val="false"/>
          <w:i w:val="false"/>
          <w:color w:val="000000"/>
          <w:sz w:val="21"/>
        </w:rPr>
        <w:t xml:space="preserve"> (Notice ARC 5859C, IAB 8/11/21)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[Editorial change: IAC Supplement 4/6/22]</w:t>
      </w:r>
    </w:p>
    <w:p>
      <w:pPr>
        <w:spacing w:before="0" w:after="0"/>
        <w:ind w:left="120"/>
        <w:jc w:val="center"/>
      </w:pPr>
      <w:r>
        <w:rPr>
          <w:rFonts w:ascii="Times New Roman" w:hAnsi="Times New Roman"/>
          <w:b w:val="false"/>
          <w:i w:val="false"/>
          <w:color w:val="000000"/>
          <w:sz w:val="21"/>
        </w:rPr>
        <w:t>[Filed ARC 8784C</w:t>
      </w:r>
      <w:r>
        <w:rPr>
          <w:rFonts w:ascii="Times New Roman" w:hAnsi="Times New Roman"/>
          <w:b w:val="false"/>
          <w:i w:val="false"/>
          <w:color w:val="000000"/>
          <w:sz w:val="21"/>
        </w:rPr>
        <w:t xml:space="preserve"> (Notice ARC 8248C, IAB 10/16/24)</w:t>
      </w:r>
      <w:r>
        <w:rPr>
          <w:rFonts w:ascii="Times New Roman" w:hAnsi="Times New Roman"/>
          <w:b w:val="false"/>
          <w:i w:val="false"/>
          <w:color w:val="000000"/>
          <w:sz w:val="21"/>
        </w:rPr>
        <w:t>, IAB 1/8/25, effective 2/12/25]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Spacing—Transition to Freeway-Primary Highway diagram replaced with a clearer image.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6C.10.pdf" Type="http://schemas.openxmlformats.org/officeDocument/2006/relationships/hyperlink" Id="rId5"/>
    <Relationship TargetMode="External" Target="https://www.legis.iowa.gov/docs/ico/chapter/306C.13.pdf" Type="http://schemas.openxmlformats.org/officeDocument/2006/relationships/hyperlink" Id="rId6"/>
    <Relationship TargetMode="External" Target="https://www.legis.iowa.gov/docs/ico/chapter/306C.13.pdf" Type="http://schemas.openxmlformats.org/officeDocument/2006/relationships/hyperlink" Id="rId7"/>
    <Relationship TargetMode="External" Target="https://www.legis.iowa.gov/docs/ico/chapter/318.pdf" Type="http://schemas.openxmlformats.org/officeDocument/2006/relationships/hyperlink" Id="rId8"/>
    <Relationship TargetMode="External" Target="http://www.iowadot.gov/iowaroadsigns/sign-programs-and-applications/advertising-signs" Type="http://schemas.openxmlformats.org/officeDocument/2006/relationships/hyperlink" Id="rId9"/>
    <Relationship TargetMode="External" Target="https://www.legis.iowa.gov/docs/ico/chapter/306C.13.pdf" Type="http://schemas.openxmlformats.org/officeDocument/2006/relationships/hyperlink" Id="rId10"/>
    <Relationship TargetMode="External" Target="https://www.legis.iowa.gov/docs/ico/chapter/306B.pdf" Type="http://schemas.openxmlformats.org/officeDocument/2006/relationships/hyperlink" Id="rId11"/>
    <Relationship TargetMode="External" Target="https://www.legis.iowa.gov/docs/ico/chapter/306C.18.pdf" Type="http://schemas.openxmlformats.org/officeDocument/2006/relationships/hyperlink" Id="rId12"/>
    <Relationship TargetMode="External" Target="https://www.legis.iowa.gov/docs/ico/chapter/306C.10.pdf" Type="http://schemas.openxmlformats.org/officeDocument/2006/relationships/hyperlink" Id="rId13"/>
    <Relationship TargetMode="External" Target="https://www.legis.iowa.gov/docs/ico/chapter/335.pdf" Type="http://schemas.openxmlformats.org/officeDocument/2006/relationships/hyperlink" Id="rId14"/>
    <Relationship TargetMode="External" Target="https://www.legis.iowa.gov/docs/ico/chapter/414.pdf" Type="http://schemas.openxmlformats.org/officeDocument/2006/relationships/hyperlink" Id="rId15"/>
    <Relationship TargetMode="External" Target="https://www.legis.iowa.gov/docs/iac/rule/761.117.6.pdf" Type="http://schemas.openxmlformats.org/officeDocument/2006/relationships/hyperlink" Id="rId16"/>
    <Relationship TargetMode="External" Target="https://www.legis.iowa.gov/docs/iac/rule/761.117.5.pdf" Type="http://schemas.openxmlformats.org/officeDocument/2006/relationships/hyperlink" Id="rId17"/>
    <Relationship TargetMode="External" Target="https://www.legis.iowa.gov/docs/ico/chapter/306C.18.pdf" Type="http://schemas.openxmlformats.org/officeDocument/2006/relationships/hyperlink" Id="rId18"/>
    <Relationship TargetMode="External" Target="https://www.legis.iowa.gov/docs/iac/rule/761.117.9.pdf" Type="http://schemas.openxmlformats.org/officeDocument/2006/relationships/hyperlink" Id="rId19"/>
    <Relationship TargetMode="External" Target="https://www.legis.iowa.gov/docs/iac/rule/761.117.2.pdf" Type="http://schemas.openxmlformats.org/officeDocument/2006/relationships/hyperlink" Id="rId20"/>
    <Relationship TargetMode="External" Target="https://www.legis.iowa.gov/docs/ico/chapter/306B.pdf" Type="http://schemas.openxmlformats.org/officeDocument/2006/relationships/hyperlink" Id="rId21"/>
    <Relationship TargetMode="External" Target="https://www.legis.iowa.gov/docs/ico/chapter/306C.pdf" Type="http://schemas.openxmlformats.org/officeDocument/2006/relationships/hyperlink" Id="rId22"/>
    <Relationship TargetMode="External" Target="https://www.legis.iowa.gov/docs/ico/chapter/306B.2.pdf" Type="http://schemas.openxmlformats.org/officeDocument/2006/relationships/hyperlink" Id="rId23"/>
    <Relationship TargetMode="External" Target="https://www.legis.iowa.gov/docs/ico/chapter/306B.2.pdf" Type="http://schemas.openxmlformats.org/officeDocument/2006/relationships/hyperlink" Id="rId24"/>
    <Relationship TargetMode="External" Target="https://www.legis.iowa.gov/docs/ico/chapter/306C.13.pdf" Type="http://schemas.openxmlformats.org/officeDocument/2006/relationships/hyperlink" Id="rId25"/>
    <Relationship TargetMode="External" Target="https://www.legis.iowa.gov/docs/ico/chapter/306C.13.pdf" Type="http://schemas.openxmlformats.org/officeDocument/2006/relationships/hyperlink" Id="rId26"/>
    <Relationship TargetMode="External" Target="https://www.legis.iowa.gov/docs/iac/rule/761.117.2.pdf" Type="http://schemas.openxmlformats.org/officeDocument/2006/relationships/hyperlink" Id="rId27"/>
    <Relationship TargetMode="External" Target="https://www.legis.iowa.gov/docs/ico/chapter/306C.18.pdf" Type="http://schemas.openxmlformats.org/officeDocument/2006/relationships/hyperlink" Id="rId28"/>
    <Relationship TargetMode="External" Target="https://www.legis.iowa.gov/docs/iac/rule/761.117.2.pdf" Type="http://schemas.openxmlformats.org/officeDocument/2006/relationships/hyperlink" Id="rId29"/>
    <Relationship TargetMode="External" Target="https://www.legis.iowa.gov/docs/iac/rule/761.117.2.pdf" Type="http://schemas.openxmlformats.org/officeDocument/2006/relationships/hyperlink" Id="rId30"/>
    <Relationship TargetMode="External" Target="https://www.legis.iowa.gov/docs/ico/chapter/306C.pdf" Type="http://schemas.openxmlformats.org/officeDocument/2006/relationships/hyperlink" Id="rId31"/>
    <Relationship TargetMode="External" Target="https://www.legis.iowa.gov/docs/iac/rule/761.117.8.pdf" Type="http://schemas.openxmlformats.org/officeDocument/2006/relationships/hyperlink" Id="rId32"/>
    <Relationship TargetMode="External" Target="https://www.legis.iowa.gov/docs/ico/chapter/306B.pdf" Type="http://schemas.openxmlformats.org/officeDocument/2006/relationships/hyperlink" Id="rId33"/>
    <Relationship TargetMode="External" Target="https://www.legis.iowa.gov/docs/ico/chapter/306C.pdf" Type="http://schemas.openxmlformats.org/officeDocument/2006/relationships/hyperlink" Id="rId34"/>
    <Relationship TargetMode="External" Target="https://www.legis.iowa.gov/docs/iac/chapter/761.112.pdf" Type="http://schemas.openxmlformats.org/officeDocument/2006/relationships/hyperlink" Id="rId35"/>
    <Relationship TargetMode="External" Target="https://www.legis.iowa.gov/docs/ico/chapter/306C.19.pdf" Type="http://schemas.openxmlformats.org/officeDocument/2006/relationships/hyperlink" Id="rId36"/>
    <Relationship TargetMode="External" Target="https://www.legis.iowa.gov/docs/iac/rule/761.117.8.pdf" Type="http://schemas.openxmlformats.org/officeDocument/2006/relationships/hyperlink" Id="rId37"/>
    <Relationship TargetMode="External" Target="https://www.legis.iowa.gov/docs/iac/rule/761.117.8.pdf" Type="http://schemas.openxmlformats.org/officeDocument/2006/relationships/hyperlink" Id="rId38"/>
    <Relationship TargetMode="External" Target="https://www.legis.iowa.gov/docs/ico/chapter/306C.10.pdf" Type="http://schemas.openxmlformats.org/officeDocument/2006/relationships/hyperlink" Id="rId39"/>
    <Relationship TargetMode="External" Target="https://www.legis.iowa.gov/docs/iac/rule/761.117.6.pdf" Type="http://schemas.openxmlformats.org/officeDocument/2006/relationships/hyperlink" Id="rId40"/>
    <Relationship TargetMode="External" Target="https://www.legis.iowa.gov/docs/ico/chapter/306B.pdf" Type="http://schemas.openxmlformats.org/officeDocument/2006/relationships/hyperlink" Id="rId41"/>
    <Relationship TargetMode="External" Target="https://www.legis.iowa.gov/docs/ico/chapter/306C.pdf" Type="http://schemas.openxmlformats.org/officeDocument/2006/relationships/hyperlink" Id="rId42"/>
    <Relationship TargetMode="External" Target="https://www.legis.iowa.gov/docs/ico/chapter/306C.19.pdf" Type="http://schemas.openxmlformats.org/officeDocument/2006/relationships/hyperlink" Id="rId43"/>
    <Relationship TargetMode="External" Target="https://www.legis.iowa.gov/docs/ico/chapter/6B.pdf" Type="http://schemas.openxmlformats.org/officeDocument/2006/relationships/hyperlink" Id="rId44"/>
    <Relationship TargetMode="External" Target="https://www.legis.iowa.gov/docs/iac/chapter/761.13.pdf" Type="http://schemas.openxmlformats.org/officeDocument/2006/relationships/hyperlink" Id="rId45"/>
    <Relationship TargetMode="External" Target="https://www.legis.iowa.gov/docs/iac/rule/761.117.2.pdf" Type="http://schemas.openxmlformats.org/officeDocument/2006/relationships/hyperlink" Id="rId46"/>
    <Relationship TargetMode="External" Target="https://www.legis.iowa.gov/docs/iac/chapter/761.13.pdf" Type="http://schemas.openxmlformats.org/officeDocument/2006/relationships/hyperlink" Id="rId47"/>
    <Relationship TargetMode="External" Target="https://www.legis.iowa.gov/docs/iac/rule/761.117.2.pdf" Type="http://schemas.openxmlformats.org/officeDocument/2006/relationships/hyperlink" Id="rId48"/>
    <Relationship TargetMode="External" Target="https://www.legis.iowa.gov/docs/ico/chapter/306B.pdf" Type="http://schemas.openxmlformats.org/officeDocument/2006/relationships/hyperlink" Id="rId49"/>
    <Relationship TargetMode="External" Target="https://www.legis.iowa.gov/docs/ico/chapter/306C.pdf" Type="http://schemas.openxmlformats.org/officeDocument/2006/relationships/hyperlink" Id="rId50"/>
    <Relationship TargetMode="External" Target="https://www.legis.iowa.gov/docs/ico/chapter/306D.4.pdf" Type="http://schemas.openxmlformats.org/officeDocument/2006/relationships/hyperlink" Id="rId51"/>
    <Relationship TargetMode="External" Target="https://www.legis.iowa.gov/docs/iac/chapter/761.117.pdf" Type="http://schemas.openxmlformats.org/officeDocument/2006/relationships/hyperlink"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