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WAIVER OF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761—11.1</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establish a general process for granting waivers from the requirements of department rules. A waiver is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 preclude the granting of waivers using another process if a statute or another department rule so provides. If the rule for which a waiver is sought has a specific waiver process of its own, this chapter is applicable only when it is specifically cited.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rules that merely define the meaning of a statute or other provision of law if the department does not possess the delegated authority to bind the courts to any extent with its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5301C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761—11.2</w:t>
      </w:r>
      <w:r>
        <w:rPr>
          <w:rFonts w:ascii="Times New Roman" w:hAnsi="Times New Roman"/>
          <w:b/>
          <w:i w:val="false"/>
          <w:color w:val="000000"/>
          <w:sz w:val="22"/>
        </w:rPr>
        <w:t xml:space="preserve">(17A) </w:t>
      </w:r>
      <w:r>
        <w:rPr>
          <w:rFonts w:ascii="Times New Roman" w:hAnsi="Times New Roman"/>
          <w:b/>
          <w:i w:val="false"/>
          <w:color w:val="000000"/>
          <w:sz w:val="22"/>
        </w:rPr>
        <w:t xml:space="preserve">Authority to grant waiver. </w:t>
      </w:r>
      <w:r>
        <w:rPr>
          <w:rFonts w:ascii="Times New Roman" w:hAnsi="Times New Roman"/>
          <w:b w:val="false"/>
          <w:i w:val="false"/>
          <w:color w:val="000000"/>
          <w:sz w:val="22"/>
        </w:rPr>
        <w:t xml:space="preserve">The director of transportation may, in response to a written petition submitted in accordance with rule </w:t>
      </w:r>
      <w:hyperlink r:id="rId5">
        <w:r>
          <w:rPr>
            <w:rStyle w:val="Hyperlink"/>
            <w:rFonts w:ascii="Times New Roman" w:hAnsi="Times New Roman"/>
            <w:b w:val="false"/>
            <w:i w:val="false"/>
            <w:color w:val="000000"/>
            <w:sz w:val="22"/>
          </w:rPr>
          <w:t>761—11.5</w:t>
        </w:r>
      </w:hyperlink>
      <w:r>
        <w:rPr>
          <w:rFonts w:ascii="Times New Roman" w:hAnsi="Times New Roman"/>
          <w:b w:val="false"/>
          <w:i w:val="false"/>
          <w:color w:val="000000"/>
          <w:sz w:val="22"/>
        </w:rPr>
        <w:t>(17A), grant a waiver from the requirements of a rule. The decision to grant a waiver shall be made at the sole discretion of the director and is final agency action.</w:t>
      </w:r>
    </w:p>
    <w:p>
      <w:pPr>
        <w:spacing w:before="0" w:after="0"/>
        <w:ind w:left="120"/>
        <w:jc w:val="both"/>
      </w:pPr>
      <w:r>
        <w:rPr>
          <w:rFonts w:ascii="Times New Roman" w:hAnsi="Times New Roman"/>
          <w:b/>
          <w:i w:val="false"/>
          <w:color w:val="000000"/>
          <w:sz w:val="22"/>
        </w:rPr>
        <w:t>761—11.3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considerations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The director shall not grant a waiver from the requirements of a rule unless the director or the department has jurisdiction over the rule and the waiver is consistent with any applicable statute, constitutional provision, or other provision of law. The director shall not waive any requirement created or duty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 waiver from the requirements of a rule if the director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will pose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will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waiver are not specifically mandated by statute or another provision of law, and the waiver will not cause a denial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the public health, safety, and welfare will be afforded by means other than that prescribed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each petition for a waiver based on the unique, individual circumstances set out in the petition. The burden of persuasion rests with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A waiver, if granted, shall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The director may place any condition on a waiver that the director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A waiver shall not be permanent, unless the director finds that a temporary waiver would be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temporary waiver is granted, there is no automatic right to renewal. At the sole discretion of the director, a waiver may be renewed if the director finds all of the factors set out in subrule </w:t>
      </w:r>
      <w:hyperlink r:id="rId6">
        <w:r>
          <w:rPr>
            <w:rStyle w:val="Hyperlink"/>
            <w:rFonts w:ascii="Times New Roman" w:hAnsi="Times New Roman"/>
            <w:b w:val="false"/>
            <w:i w:val="false"/>
            <w:color w:val="000000"/>
            <w:sz w:val="22"/>
          </w:rPr>
          <w:t>11.3(2)</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i w:val="false"/>
          <w:color w:val="000000"/>
          <w:sz w:val="22"/>
        </w:rPr>
        <w:t>761—11.4</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 on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director’s decision to grant or deny a waiver in response to a written petition shall be in writing and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to whom the decision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rule or portion thereof to which the decision pertains and a brief summary of the rule’s requirements that are pertinent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and reasons upon which the decision is based. If a waiver is granted, the decision must include the findings set out in subrule </w:t>
      </w:r>
      <w:hyperlink r:id="rId7">
        <w:r>
          <w:rPr>
            <w:rStyle w:val="Hyperlink"/>
            <w:rFonts w:ascii="Times New Roman" w:hAnsi="Times New Roman"/>
            <w:b w:val="false"/>
            <w:i w:val="false"/>
            <w:color w:val="000000"/>
            <w:sz w:val="22"/>
          </w:rPr>
          <w:t>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scope and duration of a waiver if one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conditions placed on a waiver if one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761—11.5</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Any person may petition the department for a waiver from the requirements of a rule. The petitioner must have a real and direct interest in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Form of petition. </w:t>
      </w:r>
      <w:r>
        <w:rPr>
          <w:rFonts w:ascii="Times New Roman" w:hAnsi="Times New Roman"/>
          <w:b w:val="false"/>
          <w:i w:val="false"/>
          <w:color w:val="000000"/>
          <w:sz w:val="22"/>
        </w:rPr>
        <w:t>A petition for a waiver from the requirements of a rule must be in writing and state clearly at the top of the petition that it is a “petition for waiver of a rule.” The petition shall contain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any license, permit or case number applicable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its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relevant facts and reasons the petitioner believes would justify the requested waiver. The petitioner should address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Why applying the rule will result in an undue hardship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Why waiving the rule will not prejudice the substantial legal rights of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provisions of the rule are specifically mandated by statute or another law other than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substantially equal protection of the public health, safety, and welfare will be afforded by means other than those prescribed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petitioner and the department that are related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petitioner is currently a party to a rule making, declaratory order, contested case, judicial proceeding, or any other proceeding related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department’s treatment of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may be affected if the waiver were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may be adversely affected if the waiver were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who has knowledge of facts relevant to the requested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Releases authorizing persons with knowledge of relevant facts to furnish that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and the date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petition. </w:t>
      </w:r>
      <w:r>
        <w:rPr>
          <w:rFonts w:ascii="Times New Roman" w:hAnsi="Times New Roman"/>
          <w:b w:val="false"/>
          <w:i w:val="false"/>
          <w:color w:val="000000"/>
          <w:sz w:val="22"/>
        </w:rPr>
        <w:t xml:space="preserve">A petition for waiver from the requirements of a rule shall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8">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2889C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Following is the procedure for responding to a petition for a waiver from the requirements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acknowledge receipt of a petition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Before a waiver is granted or denied, the department may request a petitioner to furnish additional information related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decision to grant or deny a waiver within 120 days after the department receives the petition unless the petitioner agrees to a later time. However, if the matter is also the subject of a contested case proceeding, the decision to grant or deny a waiver need not be issued until after the final decision in the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to grant or deny a waiver shall contain the information set out in rule </w:t>
      </w:r>
      <w:hyperlink r:id="rId9">
        <w:r>
          <w:rPr>
            <w:rStyle w:val="Hyperlink"/>
            <w:rFonts w:ascii="Times New Roman" w:hAnsi="Times New Roman"/>
            <w:b w:val="false"/>
            <w:i w:val="false"/>
            <w:color w:val="000000"/>
            <w:sz w:val="22"/>
          </w:rPr>
          <w:t>761—11.4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Within seven days after the decision is issued, the department shall transmit it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Failure to grant or deny a waiver within the required time is deemed a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w:t>
      </w:r>
      <w:r>
        <w:rPr>
          <w:rFonts w:ascii="Times New Roman" w:hAnsi="Times New Roman"/>
          <w:b w:val="false"/>
          <w:i w:val="false"/>
          <w:color w:val="000000"/>
          <w:sz w:val="22"/>
        </w:rPr>
        <w:t> </w:t>
      </w:r>
      <w:r>
        <w:rPr>
          <w:rFonts w:ascii="Times New Roman" w:hAnsi="Times New Roman"/>
          <w:b w:val="false"/>
          <w:i w:val="false"/>
          <w:color w:val="000000"/>
          <w:sz w:val="22"/>
        </w:rPr>
        <w:t>The director’s decision on a petition for a waiver from the requirements of a rule is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11.6(8)</w:t>
      </w:r>
      <w:r>
        <w:rPr>
          <w:rFonts w:ascii="Times New Roman" w:hAnsi="Times New Roman"/>
          <w:b w:val="false"/>
          <w:i w:val="false"/>
          <w:color w:val="000000"/>
          <w:sz w:val="22"/>
        </w:rPr>
        <w:t> </w:t>
      </w:r>
      <w:r>
        <w:rPr>
          <w:rFonts w:ascii="Times New Roman" w:hAnsi="Times New Roman"/>
          <w:b w:val="false"/>
          <w:i w:val="false"/>
          <w:color w:val="000000"/>
          <w:sz w:val="22"/>
        </w:rPr>
        <w:t>A petition for a waiver from the requirements of a rule is independent of a contested case proceeding. Submission of a petition does not delay the time to request a contested case hearing, to appeal a proposed decision in a contested case, or to file a petition for judicial review of a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11.6(9)</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a waiver from the requirements of a rule is not required to exhaust administrative remedies before judicial review of a department action under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761—11.7</w:t>
      </w:r>
      <w:r>
        <w:rPr>
          <w:rFonts w:ascii="Times New Roman" w:hAnsi="Times New Roman"/>
          <w:b/>
          <w:i w:val="false"/>
          <w:color w:val="000000"/>
          <w:sz w:val="22"/>
        </w:rPr>
        <w:t xml:space="preserve">(17A) </w:t>
      </w:r>
      <w:r>
        <w:rPr>
          <w:rFonts w:ascii="Times New Roman" w:hAnsi="Times New Roman"/>
          <w:b/>
          <w:i w:val="false"/>
          <w:color w:val="000000"/>
          <w:sz w:val="22"/>
        </w:rPr>
        <w:t xml:space="preserve">Modification or cancellation of waiver. </w:t>
      </w:r>
      <w:r>
        <w:rPr>
          <w:rFonts w:ascii="Times New Roman" w:hAnsi="Times New Roman"/>
          <w:b w:val="false"/>
          <w:i w:val="false"/>
          <w:color w:val="000000"/>
          <w:sz w:val="22"/>
        </w:rPr>
        <w:t>The department may, after notice and opportunity for hearing, modify or cancel a waiver granted pursuant to this chapter if the director finds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material fact upon which the waiver is based is not true or has changed.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petitioner withheld or knowingly misrepresented a material fact relevant to the propriety or desirability of the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petitioner has failed to comply with the conditions set forth in the decision granting the waiver.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alternate means for ensuring that the public health, safety and welfare will be adequately protected after the waiver is granted are insufficient.</w:t>
      </w:r>
    </w:p>
    <w:p>
      <w:pPr>
        <w:spacing w:before="0" w:after="0"/>
        <w:ind w:left="120"/>
        <w:jc w:val="both"/>
      </w:pPr>
      <w:r>
        <w:rPr>
          <w:rFonts w:ascii="Times New Roman" w:hAnsi="Times New Roman"/>
          <w:b/>
          <w:i w:val="false"/>
          <w:color w:val="000000"/>
          <w:sz w:val="22"/>
        </w:rPr>
        <w:t>761—11.8</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All records relating to waivers granted or denied under this chapter are open records. However, if a record contains personal information that is confidential, only the portion of the record that is nonconfidential will be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The department’s rules administrator shall, at a minimum, retain for five years records relating to waivers granted or denied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2231C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2889C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 xml:space="preserve">; </w:t>
      </w:r>
      <w:r>
        <w:rPr>
          <w:rFonts w:ascii="Times New Roman" w:hAnsi="Times New Roman"/>
          <w:b/>
          <w:i w:val="false"/>
          <w:color w:val="000000"/>
          <w:sz w:val="16"/>
        </w:rPr>
        <w:t>ARC 4492C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 dated September 14, 1999</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2231C</w:t>
      </w:r>
      <w:r>
        <w:rPr>
          <w:rFonts w:ascii="Times New Roman" w:hAnsi="Times New Roman"/>
          <w:b w:val="false"/>
          <w:i w:val="false"/>
          <w:color w:val="000000"/>
          <w:sz w:val="21"/>
        </w:rPr>
        <w:t xml:space="preserve"> (Notice ARC 2117C,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4492C</w:t>
      </w:r>
      <w:r>
        <w:rPr>
          <w:rFonts w:ascii="Times New Roman" w:hAnsi="Times New Roman"/>
          <w:b w:val="false"/>
          <w:i w:val="false"/>
          <w:color w:val="000000"/>
          <w:sz w:val="21"/>
        </w:rPr>
        <w:t xml:space="preserve"> (Notice ARC 4325C, IAB 3/13/19)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5301C</w:t>
      </w:r>
      <w:r>
        <w:rPr>
          <w:rFonts w:ascii="Times New Roman" w:hAnsi="Times New Roman"/>
          <w:b w:val="false"/>
          <w:i w:val="false"/>
          <w:color w:val="000000"/>
          <w:sz w:val="21"/>
        </w:rPr>
        <w:t xml:space="preserve"> (Notice ARC 5180C,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[Editorial change: IAC Supplement 7/28/21]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1.5.pdf" Type="http://schemas.openxmlformats.org/officeDocument/2006/relationships/hyperlink" Id="rId5"/>
    <Relationship TargetMode="External" Target="https://www.legis.iowa.gov/docs/iac/rule/761.11.3.pdf" Type="http://schemas.openxmlformats.org/officeDocument/2006/relationships/hyperlink" Id="rId6"/>
    <Relationship TargetMode="External" Target="https://www.legis.iowa.gov/docs/iac/rule/761.11.3.pdf" Type="http://schemas.openxmlformats.org/officeDocument/2006/relationships/hyperlink" Id="rId7"/>
    <Relationship TargetMode="External" Target="http://iowadot.gov/administrativerules" Type="http://schemas.openxmlformats.org/officeDocument/2006/relationships/hyperlink" Id="rId8"/>
    <Relationship TargetMode="External" Target="https://www.legis.iowa.gov/docs/iac/rule/761.11.4.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