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101</w:t>
      </w:r>
    </w:p>
    <w:p>
      <w:pPr>
        <w:spacing w:before="0" w:after="0"/>
        <w:ind w:left="120"/>
        <w:jc w:val="center"/>
      </w:pPr>
      <w:r>
        <w:rPr>
          <w:rFonts w:ascii="Times New Roman" w:hAnsi="Times New Roman"/>
          <w:b w:val="false"/>
          <w:i w:val="false"/>
          <w:color w:val="000000"/>
          <w:sz w:val="21"/>
        </w:rPr>
        <w:t>FARM-TO-MARKET REVIEW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761—101.1</w:t>
      </w:r>
      <w:r>
        <w:rPr>
          <w:rFonts w:ascii="Times New Roman" w:hAnsi="Times New Roman"/>
          <w:b/>
          <w:i w:val="false"/>
          <w:color w:val="000000"/>
          <w:sz w:val="22"/>
        </w:rPr>
        <w:t xml:space="preserve">(306)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these procedural rules is to formalize the process by which the farm-to-market review board, created by Iowa Code section </w:t>
      </w:r>
      <w:hyperlink r:id="rId5">
        <w:r>
          <w:rPr>
            <w:rStyle w:val="Hyperlink"/>
            <w:rFonts w:ascii="Times New Roman" w:hAnsi="Times New Roman"/>
            <w:b w:val="false"/>
            <w:i w:val="false"/>
            <w:color w:val="000000"/>
            <w:sz w:val="22"/>
          </w:rPr>
          <w:t>306.6</w:t>
        </w:r>
      </w:hyperlink>
      <w:r>
        <w:rPr>
          <w:rFonts w:ascii="Times New Roman" w:hAnsi="Times New Roman"/>
          <w:b w:val="false"/>
          <w:i w:val="false"/>
          <w:color w:val="000000"/>
          <w:sz w:val="22"/>
        </w:rPr>
        <w:t>, will administer its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6">
        <w:r>
          <w:rPr>
            <w:rStyle w:val="Hyperlink"/>
            <w:rFonts w:ascii="Times New Roman" w:hAnsi="Times New Roman"/>
            <w:b w:val="false"/>
            <w:i w:val="false"/>
            <w:color w:val="000000"/>
            <w:sz w:val="22"/>
          </w:rPr>
          <w:t>306.6</w:t>
        </w:r>
      </w:hyperlink>
      <w:r>
        <w:rPr>
          <w:rFonts w:ascii="Times New Roman" w:hAnsi="Times New Roman"/>
          <w:b w:val="false"/>
          <w:i w:val="false"/>
          <w:color w:val="000000"/>
          <w:sz w:val="22"/>
        </w:rPr>
        <w:t xml:space="preserve"> requires the farm-to-market review board to make final administrative decisions based on sound farm-to-market road system designation principles for all modifications relative to the farm-to-market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7">
        <w:r>
          <w:rPr>
            <w:rStyle w:val="Hyperlink"/>
            <w:rFonts w:ascii="Times New Roman" w:hAnsi="Times New Roman"/>
            <w:b w:val="false"/>
            <w:i w:val="false"/>
            <w:color w:val="000000"/>
            <w:sz w:val="22"/>
          </w:rPr>
          <w:t>306.6A</w:t>
        </w:r>
      </w:hyperlink>
      <w:r>
        <w:rPr>
          <w:rFonts w:ascii="Times New Roman" w:hAnsi="Times New Roman"/>
          <w:b w:val="false"/>
          <w:i w:val="false"/>
          <w:color w:val="000000"/>
          <w:sz w:val="22"/>
        </w:rPr>
        <w:t xml:space="preserve"> requires the farm-to-market review board to adopt procedural rules for modifications to the existing farm-to-market road system and designation of farm-to-market routes on new alignment. These rules implement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306.5</w:t>
        </w:r>
      </w:hyperlink>
      <w:r>
        <w:rPr>
          <w:rFonts w:ascii="Times New Roman" w:hAnsi="Times New Roman"/>
          <w:b w:val="false"/>
          <w:i w:val="false"/>
          <w:color w:val="000000"/>
          <w:sz w:val="22"/>
        </w:rPr>
        <w:t xml:space="preserve"> states that the farm-to-market road system shall be a continuous, interconnected system and that provision shall be made for continuity by the designation of extensions within municipalities, state parks, state institutions, other state lands, and county parks and conservation areas.</w:t>
      </w:r>
    </w:p>
    <w:p>
      <w:pPr>
        <w:spacing w:before="0" w:after="0"/>
        <w:ind w:left="120"/>
        <w:jc w:val="both"/>
      </w:pPr>
      <w:r>
        <w:rPr>
          <w:rFonts w:ascii="Times New Roman" w:hAnsi="Times New Roman"/>
          <w:b/>
          <w:i w:val="false"/>
          <w:color w:val="000000"/>
          <w:sz w:val="22"/>
        </w:rPr>
        <w:t>761—101.2</w:t>
      </w:r>
      <w:r>
        <w:rPr>
          <w:rFonts w:ascii="Times New Roman" w:hAnsi="Times New Roman"/>
          <w:b/>
          <w:i w:val="false"/>
          <w:color w:val="000000"/>
          <w:sz w:val="22"/>
        </w:rPr>
        <w:t xml:space="preserve">(306)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service roads”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“local roads” </w:t>
      </w:r>
      <w:r>
        <w:rPr>
          <w:rFonts w:ascii="Times New Roman" w:hAnsi="Times New Roman"/>
          <w:b w:val="false"/>
          <w:i w:val="false"/>
          <w:color w:val="000000"/>
          <w:sz w:val="22"/>
        </w:rPr>
        <w:t xml:space="preserve">or </w:t>
      </w:r>
      <w:r>
        <w:rPr>
          <w:rFonts w:ascii="Times New Roman" w:hAnsi="Times New Roman"/>
          <w:b w:val="false"/>
          <w:i/>
          <w:color w:val="000000"/>
          <w:sz w:val="22"/>
        </w:rPr>
        <w:t>“local road system”</w:t>
      </w:r>
      <w:r>
        <w:rPr>
          <w:rFonts w:ascii="Times New Roman" w:hAnsi="Times New Roman"/>
          <w:b w:val="false"/>
          <w:i w:val="false"/>
          <w:color w:val="000000"/>
          <w:sz w:val="22"/>
        </w:rPr>
        <w:t xml:space="preserve"> means those secondary roads that are not a part of the farm-to-market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farm-to-market review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board” </w:t>
      </w:r>
      <w:r>
        <w:rPr>
          <w:rFonts w:ascii="Times New Roman" w:hAnsi="Times New Roman"/>
          <w:b w:val="false"/>
          <w:i w:val="false"/>
          <w:color w:val="000000"/>
          <w:sz w:val="22"/>
        </w:rPr>
        <w:t>means the Iowa county engineers association executive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“Farm-to-market extensions” </w:t>
      </w:r>
      <w:r>
        <w:rPr>
          <w:rFonts w:ascii="Times New Roman" w:hAnsi="Times New Roman"/>
          <w:b w:val="false"/>
          <w:i w:val="false"/>
          <w:color w:val="000000"/>
          <w:sz w:val="22"/>
        </w:rPr>
        <w:t>means extensions of the farm-to-market road system within municipalities, state parks, state institutions, other state lands, and county parks and conservation areas. The mileage of these extensions of the system shall be included in the total mileage of the farm-to-market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“Farm-to-market roads”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“farm-to-market road system” </w:t>
      </w:r>
      <w:r>
        <w:rPr>
          <w:rFonts w:ascii="Times New Roman" w:hAnsi="Times New Roman"/>
          <w:b w:val="false"/>
          <w:i w:val="false"/>
          <w:color w:val="000000"/>
          <w:sz w:val="22"/>
        </w:rPr>
        <w:t>means those county jurisdiction intracounty and intercounty roads which serve principal traffic generating areas and connect such areas to other farm-to-market roads and primary roads. The farm-to-market road system includes those county jurisdiction roads providing service for short-distance intracounty and intercounty traffic or providing connections between farm-to-market and area service roads, and includes those secondary roads which are federal aid eligible. The farm-to-market road system shall not exceed 35,000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“President” </w:t>
      </w:r>
      <w:r>
        <w:rPr>
          <w:rFonts w:ascii="Times New Roman" w:hAnsi="Times New Roman"/>
          <w:b w:val="false"/>
          <w:i w:val="false"/>
          <w:color w:val="000000"/>
          <w:sz w:val="22"/>
        </w:rPr>
        <w:t>means the president of the Iowa county engineers association.</w:t>
      </w:r>
    </w:p>
    <w:p>
      <w:pPr>
        <w:spacing w:before="0" w:after="0"/>
        <w:ind w:left="120"/>
        <w:jc w:val="both"/>
      </w:pPr>
      <w:r>
        <w:rPr>
          <w:rFonts w:ascii="Times New Roman" w:hAnsi="Times New Roman"/>
          <w:b/>
          <w:i w:val="false"/>
          <w:color w:val="000000"/>
          <w:sz w:val="22"/>
        </w:rPr>
        <w:t>761—101.3</w:t>
      </w:r>
      <w:r>
        <w:rPr>
          <w:rFonts w:ascii="Times New Roman" w:hAnsi="Times New Roman"/>
          <w:b/>
          <w:i w:val="false"/>
          <w:color w:val="000000"/>
          <w:sz w:val="22"/>
        </w:rPr>
        <w:t xml:space="preserve">(306) </w:t>
      </w:r>
      <w:r>
        <w:rPr>
          <w:rFonts w:ascii="Times New Roman" w:hAnsi="Times New Roman"/>
          <w:b/>
          <w:i w:val="false"/>
          <w:color w:val="000000"/>
          <w:sz w:val="22"/>
        </w:rPr>
        <w:t xml:space="preserve">Composition and membership of the farm-to-market review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The farm-to-market review board shall be composed of 12 county engineers selected by the Iowa county engineers association. Two members shall be selected from each district to serve staggered terms. After the first complete term rotation as shown below, the members shall serve six-year terms. Rotations shall be staggered so that no more than one-sixth of the membership is rotated off the board in any one year. The rotation of board members shall further provide that two members from one district will not be rotated off the board in the same year, and that their rotations will be varied by three years. Board rotation shall be as follows and shall be extended in future years in the same pattern:</w:t>
      </w:r>
    </w:p>
    <w:tbl>
      <w:tblPr>
        <w:tblW w:w="5000" w:type="pct"/>
        <w:tblCellSpacing w:w="0" w:type="auto"/>
        <w:tblBorders>
          <w:top w:val="none"/>
          <w:left w:val="none"/>
          <w:bottom w:val="none"/>
          <w:right w:val="none"/>
          <w:insideH w:val="none"/>
          <w:insideV w:val="none"/>
        </w:tblBorders>
        <w:tblLayout w:type="fixed"/>
      </w:tblPr>
      <w:tblGrid>
        <w:gridCol w:w="2514"/>
        <w:gridCol w:w="4146"/>
        <w:gridCol w:w="4530"/>
      </w:tblGrid>
      <w:tr>
        <w:trPr>
          <w:trHeight w:val="210" w:hRule="atLeast"/>
        </w:trPr>
        <w:tc>
          <w:tcPr>
            <w:tcW w:w="25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Year</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Rotation</w:t>
            </w:r>
          </w:p>
        </w:tc>
      </w:tr>
      <w:tr>
        <w:trPr>
          <w:trHeight w:val="210" w:hRule="atLeast"/>
        </w:trPr>
        <w:tc>
          <w:tcPr>
            <w:tcW w:w="2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2015</w:t>
            </w:r>
          </w:p>
        </w:tc>
        <w:tc>
          <w:tcPr>
            <w:tcW w:w="41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1 Representative A</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4 Representative A</w:t>
            </w:r>
          </w:p>
        </w:tc>
      </w:tr>
      <w:tr>
        <w:trPr>
          <w:trHeight w:val="210" w:hRule="atLeast"/>
        </w:trPr>
        <w:tc>
          <w:tcPr>
            <w:tcW w:w="2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w:t>
            </w:r>
          </w:p>
        </w:tc>
        <w:tc>
          <w:tcPr>
            <w:tcW w:w="41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2 Representative A</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5 Representative A</w:t>
            </w:r>
          </w:p>
        </w:tc>
      </w:tr>
      <w:tr>
        <w:trPr>
          <w:trHeight w:val="210" w:hRule="atLeast"/>
        </w:trPr>
        <w:tc>
          <w:tcPr>
            <w:tcW w:w="2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2017</w:t>
            </w:r>
          </w:p>
        </w:tc>
        <w:tc>
          <w:tcPr>
            <w:tcW w:w="41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3 Representative A</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6 Representative A</w:t>
            </w:r>
          </w:p>
        </w:tc>
      </w:tr>
      <w:tr>
        <w:trPr>
          <w:trHeight w:val="210" w:hRule="atLeast"/>
        </w:trPr>
        <w:tc>
          <w:tcPr>
            <w:tcW w:w="2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2018</w:t>
            </w:r>
          </w:p>
        </w:tc>
        <w:tc>
          <w:tcPr>
            <w:tcW w:w="41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1 Representative B</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4 Representative B</w:t>
            </w:r>
          </w:p>
        </w:tc>
      </w:tr>
      <w:tr>
        <w:trPr>
          <w:trHeight w:val="210" w:hRule="atLeast"/>
        </w:trPr>
        <w:tc>
          <w:tcPr>
            <w:tcW w:w="2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2019</w:t>
            </w:r>
          </w:p>
        </w:tc>
        <w:tc>
          <w:tcPr>
            <w:tcW w:w="41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2 Representative B</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5 Representative B</w:t>
            </w:r>
          </w:p>
        </w:tc>
      </w:tr>
      <w:tr>
        <w:trPr>
          <w:trHeight w:val="210" w:hRule="atLeast"/>
        </w:trPr>
        <w:tc>
          <w:tcPr>
            <w:tcW w:w="2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w:t>
            </w:r>
          </w:p>
        </w:tc>
        <w:tc>
          <w:tcPr>
            <w:tcW w:w="41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3 Representative B</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District 6 Representative B</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Members shall be nominated by their districts and approved by the executive board. A county engineer may serve multiple, consecutive terms if so nominated by the county engineer’s district. If a county engineer is unable to complete a term for any reason, the president shall select another county engineer within the district to serve the balance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val="false"/>
          <w:color w:val="000000"/>
          <w:sz w:val="22"/>
        </w:rPr>
        <w:t>The farm-to-market review board shall select from its membership a chair and a vice-chair to serve one-year terms. The chair serves at the pleasure of the board and may be elected to multiple terms as deemed appropriate by the board. The vice-chair shall preside at a meeting in the absence of the chair.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2392C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761—101.4</w:t>
      </w:r>
      <w:r>
        <w:rPr>
          <w:rFonts w:ascii="Times New Roman" w:hAnsi="Times New Roman"/>
          <w:b/>
          <w:i w:val="false"/>
          <w:color w:val="000000"/>
          <w:sz w:val="22"/>
        </w:rPr>
        <w:t xml:space="preserve">(306) </w:t>
      </w:r>
      <w:r>
        <w:rPr>
          <w:rFonts w:ascii="Times New Roman" w:hAnsi="Times New Roman"/>
          <w:b/>
          <w:i w:val="false"/>
          <w:color w:val="000000"/>
          <w:sz w:val="22"/>
        </w:rPr>
        <w:t xml:space="preserve">Collection of system modification requests and frequency of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The department of transportation will collect applications for modifications to the farm-to-market road system. The board chair shall schedule meetings of the board. In general, the farm-to-market review board shall meet in conjunction with statewide meetings of the Iowa state association of counties and Iowa county engineers association to review accumulated applications for farm-to-market road system modifications. Applications must be filed no less than 30 days prior to each scheduled board meeting. Additional board meetings shall be called as determined by the chair.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farm-to-market review board is required to follow the provisions of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with regard to open meetings. The chair shall post a meeting agenda on the Iowa County Engineers Association Service Bureau website and send copies of the agenda to all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Minutes of each meeting shall be kept; the chair shall be responsible for the minutes. Meetings may be recorded to facilitate the preparation of meeting minutes, but any recordings made shall not be retained after the minutes have been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2392C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761—101.5</w:t>
      </w:r>
      <w:r>
        <w:rPr>
          <w:rFonts w:ascii="Times New Roman" w:hAnsi="Times New Roman"/>
          <w:b/>
          <w:i w:val="false"/>
          <w:color w:val="000000"/>
          <w:sz w:val="22"/>
        </w:rPr>
        <w:t xml:space="preserve">(306) </w:t>
      </w:r>
      <w:r>
        <w:rPr>
          <w:rFonts w:ascii="Times New Roman" w:hAnsi="Times New Roman"/>
          <w:b/>
          <w:i w:val="false"/>
          <w:color w:val="000000"/>
          <w:sz w:val="22"/>
        </w:rPr>
        <w:t xml:space="preserve">Procedure for requesting modifications to the farm-to-market road system. </w:t>
      </w:r>
      <w:r>
        <w:rPr>
          <w:rFonts w:ascii="Times New Roman" w:hAnsi="Times New Roman"/>
          <w:b w:val="false"/>
          <w:i w:val="false"/>
          <w:color w:val="000000"/>
          <w:sz w:val="22"/>
        </w:rPr>
        <w:t>To apply for a modification to the farm-to-market road system, a county must file an application through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The application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a resolution of the county board of supervisors requesting the modification to the existing farm-to-market road system. Farm-to-market modifications may include proposed roads, redesignation of area service roads, or transfers of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report of the county engineer explaining and justifying the addition of new mileage to the farm-to-market road system or the change in the route or farm-to-market classification proposed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In the case of intercounty routes, joint applications may be filed. Resolutions shall be required of each county.</w:t>
      </w:r>
    </w:p>
    <w:p>
      <w:pPr>
        <w:spacing w:before="0" w:after="0"/>
        <w:ind w:left="120"/>
        <w:jc w:val="both"/>
      </w:pPr>
      <w:r>
        <w:rPr>
          <w:rFonts w:ascii="Times New Roman" w:hAnsi="Times New Roman"/>
          <w:b/>
          <w:i w:val="false"/>
          <w:color w:val="000000"/>
          <w:sz w:val="22"/>
        </w:rPr>
        <w:t>761—101.6</w:t>
      </w:r>
      <w:r>
        <w:rPr>
          <w:rFonts w:ascii="Times New Roman" w:hAnsi="Times New Roman"/>
          <w:b/>
          <w:i w:val="false"/>
          <w:color w:val="000000"/>
          <w:sz w:val="22"/>
        </w:rPr>
        <w:t xml:space="preserve">(306) </w:t>
      </w:r>
      <w:r>
        <w:rPr>
          <w:rFonts w:ascii="Times New Roman" w:hAnsi="Times New Roman"/>
          <w:b/>
          <w:i w:val="false"/>
          <w:color w:val="000000"/>
          <w:sz w:val="22"/>
        </w:rPr>
        <w:t xml:space="preserve">Review criteria for determining eligibility for inclusion of additional roads into the farm-to-market road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val="false"/>
          <w:color w:val="000000"/>
          <w:sz w:val="22"/>
        </w:rPr>
        <w:t>The farm-to-market review board shall make final administrative determinations based on sound farm-to-market road system designation principles for all modifications relative to the farm-to-market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the following factors in making decisions to modify the farm-to-market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Intracounty and intercounty continuity of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Properly integrated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Existing and potential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Location of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Equitable distribution of farm-to-market mileage.</w:t>
      </w:r>
    </w:p>
    <w:p>
      <w:pPr>
        <w:spacing w:before="0" w:after="0"/>
        <w:ind w:left="120"/>
        <w:jc w:val="both"/>
      </w:pPr>
      <w:r>
        <w:rPr>
          <w:rFonts w:ascii="Times New Roman" w:hAnsi="Times New Roman"/>
          <w:b/>
          <w:i w:val="false"/>
          <w:color w:val="000000"/>
          <w:sz w:val="22"/>
        </w:rPr>
        <w:t>761—101.7</w:t>
      </w:r>
      <w:r>
        <w:rPr>
          <w:rFonts w:ascii="Times New Roman" w:hAnsi="Times New Roman"/>
          <w:b/>
          <w:i w:val="false"/>
          <w:color w:val="000000"/>
          <w:sz w:val="22"/>
        </w:rPr>
        <w:t xml:space="preserve">(306) </w:t>
      </w:r>
      <w:r>
        <w:rPr>
          <w:rFonts w:ascii="Times New Roman" w:hAnsi="Times New Roman"/>
          <w:b/>
          <w:i w:val="false"/>
          <w:color w:val="000000"/>
          <w:sz w:val="22"/>
        </w:rPr>
        <w:t xml:space="preserve">Voting and approval of requested modifications. </w:t>
      </w:r>
      <w:r>
        <w:rPr>
          <w:rFonts w:ascii="Times New Roman" w:hAnsi="Times New Roman"/>
          <w:b w:val="false"/>
          <w:i w:val="false"/>
          <w:color w:val="000000"/>
          <w:sz w:val="22"/>
        </w:rPr>
        <w:t>Each member is a voting member and is eligible to vote at every meeting at which that member is in attendance. Attendance may include members being present at the meeting through a conference telephone call, Iowa communications network connection, or other electronic means deemed appropriate by the chair.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 quorum. </w:t>
      </w:r>
      <w:r>
        <w:rPr>
          <w:rFonts w:ascii="Times New Roman" w:hAnsi="Times New Roman"/>
          <w:b w:val="false"/>
          <w:i w:val="false"/>
          <w:color w:val="000000"/>
          <w:sz w:val="22"/>
        </w:rPr>
        <w:t>A minimum of eight board members is required for a quorum. If a quorum is not present at a meeting, the meeting shall be rescheduled.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color w:val="000000"/>
          <w:sz w:val="22"/>
        </w:rPr>
        <w:t xml:space="preserve">Number of votes needed to approve or deny a modification. </w:t>
      </w:r>
      <w:r>
        <w:rPr>
          <w:rFonts w:ascii="Times New Roman" w:hAnsi="Times New Roman"/>
          <w:b w:val="false"/>
          <w:i w:val="false"/>
          <w:color w:val="000000"/>
          <w:sz w:val="22"/>
        </w:rPr>
        <w:t>For a requested modification to the farm-to-market road system to be approved, it must receive a minimum of seven affirmative votes; in other words, a majority of the entire board. A motion to deny a requested modification need only receive six votes for the denial to be approved.</w:t>
      </w:r>
    </w:p>
    <w:p>
      <w:pPr>
        <w:spacing w:before="210" w:after="0"/>
        <w:ind w:left="120"/>
        <w:jc w:val="both"/>
      </w:pPr>
      <w:r>
        <w:rPr>
          <w:rFonts w:ascii="Times New Roman" w:hAnsi="Times New Roman"/>
          <w:b/>
          <w:i w:val="false"/>
          <w:color w:val="000000"/>
          <w:sz w:val="22"/>
        </w:rPr>
        <w:t>761—101.8</w:t>
      </w:r>
      <w:r>
        <w:rPr>
          <w:rFonts w:ascii="Times New Roman" w:hAnsi="Times New Roman"/>
          <w:b/>
          <w:i w:val="false"/>
          <w:color w:val="000000"/>
          <w:sz w:val="22"/>
        </w:rPr>
        <w:t xml:space="preserve">(306) </w:t>
      </w:r>
      <w:r>
        <w:rPr>
          <w:rFonts w:ascii="Times New Roman" w:hAnsi="Times New Roman"/>
          <w:b/>
          <w:i w:val="false"/>
          <w:color w:val="000000"/>
          <w:sz w:val="22"/>
        </w:rPr>
        <w:t xml:space="preserve">Report of board decision to applicant county. </w:t>
      </w:r>
      <w:r>
        <w:rPr>
          <w:rFonts w:ascii="Times New Roman" w:hAnsi="Times New Roman"/>
          <w:b w:val="false"/>
          <w:i w:val="false"/>
          <w:color w:val="000000"/>
          <w:sz w:val="22"/>
        </w:rPr>
        <w:t>Within 30 calendar days after a board meeting, the chair shall send a letter to each county whose request was acted upon by the board at the meeting. The letter shall apprise each applicant of the decision of the farm-to-market review board, briefly explain the reasons for the board’s decision, and explain the reapplication and judicial review processes.</w:t>
      </w:r>
    </w:p>
    <w:p>
      <w:pPr>
        <w:spacing w:before="210" w:after="0"/>
        <w:ind w:left="120"/>
        <w:jc w:val="both"/>
      </w:pPr>
      <w:r>
        <w:rPr>
          <w:rFonts w:ascii="Times New Roman" w:hAnsi="Times New Roman"/>
          <w:b/>
          <w:i w:val="false"/>
          <w:color w:val="000000"/>
          <w:sz w:val="22"/>
        </w:rPr>
        <w:t>761—101.9</w:t>
      </w:r>
      <w:r>
        <w:rPr>
          <w:rFonts w:ascii="Times New Roman" w:hAnsi="Times New Roman"/>
          <w:b/>
          <w:i w:val="false"/>
          <w:color w:val="000000"/>
          <w:sz w:val="22"/>
        </w:rPr>
        <w:t xml:space="preserve">(306) </w:t>
      </w:r>
      <w:r>
        <w:rPr>
          <w:rFonts w:ascii="Times New Roman" w:hAnsi="Times New Roman"/>
          <w:b/>
          <w:i w:val="false"/>
          <w:color w:val="000000"/>
          <w:sz w:val="22"/>
        </w:rPr>
        <w:t xml:space="preserve">Reapplication for modification. </w:t>
      </w:r>
      <w:r>
        <w:rPr>
          <w:rFonts w:ascii="Times New Roman" w:hAnsi="Times New Roman"/>
          <w:b w:val="false"/>
          <w:i w:val="false"/>
          <w:color w:val="000000"/>
          <w:sz w:val="22"/>
        </w:rPr>
        <w:t>A county may reapply for a modification to the farm-to-market road system if its initial request is denied. The county must again follow all provisions for requesting a modification and should be prepared to present additional information in support of the requested change. Any requested system modification that receives two denials may not be resubmitted for consideration for a minimum of three years.</w:t>
      </w:r>
    </w:p>
    <w:p>
      <w:pPr>
        <w:spacing w:before="210" w:after="0"/>
        <w:ind w:left="120"/>
        <w:jc w:val="both"/>
      </w:pPr>
      <w:r>
        <w:rPr>
          <w:rFonts w:ascii="Times New Roman" w:hAnsi="Times New Roman"/>
          <w:b/>
          <w:i w:val="false"/>
          <w:color w:val="000000"/>
          <w:sz w:val="22"/>
        </w:rPr>
        <w:t>761—101.10</w:t>
      </w:r>
      <w:r>
        <w:rPr>
          <w:rFonts w:ascii="Times New Roman" w:hAnsi="Times New Roman"/>
          <w:b/>
          <w:i w:val="false"/>
          <w:color w:val="000000"/>
          <w:sz w:val="22"/>
        </w:rPr>
        <w:t xml:space="preserve">(306)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Any county that is aggrieved or adversely affected by a decision of the farm-to-market review board may seek judicial review of such agency action under the provisions of Iowa Code section </w:t>
      </w:r>
      <w:hyperlink r:id="rId1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761—101.11</w:t>
      </w:r>
      <w:r>
        <w:rPr>
          <w:rFonts w:ascii="Times New Roman" w:hAnsi="Times New Roman"/>
          <w:b/>
          <w:i w:val="false"/>
          <w:color w:val="000000"/>
          <w:sz w:val="22"/>
        </w:rPr>
        <w:t xml:space="preserve">(306) </w:t>
      </w:r>
      <w:r>
        <w:rPr>
          <w:rFonts w:ascii="Times New Roman" w:hAnsi="Times New Roman"/>
          <w:b/>
          <w:i w:val="false"/>
          <w:color w:val="000000"/>
          <w:sz w:val="22"/>
        </w:rPr>
        <w:t xml:space="preserve">Adoption and modification of rules. </w:t>
      </w:r>
      <w:r>
        <w:rPr>
          <w:rFonts w:ascii="Times New Roman" w:hAnsi="Times New Roman"/>
          <w:b w:val="false"/>
          <w:i w:val="false"/>
          <w:color w:val="000000"/>
          <w:sz w:val="22"/>
        </w:rPr>
        <w:t>The chair shall direct the board to review these rules annually. Board members may recommend changes to these rules.</w:t>
      </w:r>
    </w:p>
    <w:p>
      <w:pPr>
        <w:spacing w:before="210" w:after="0"/>
        <w:ind w:left="120"/>
        <w:jc w:val="both"/>
      </w:pPr>
      <w:r>
        <w:rPr>
          <w:rFonts w:ascii="Times New Roman" w:hAnsi="Times New Roman"/>
          <w:b/>
          <w:i w:val="false"/>
          <w:color w:val="000000"/>
          <w:sz w:val="22"/>
        </w:rPr>
        <w:t>761—101.12</w:t>
      </w:r>
      <w:r>
        <w:rPr>
          <w:rFonts w:ascii="Times New Roman" w:hAnsi="Times New Roman"/>
          <w:b/>
          <w:i w:val="false"/>
          <w:color w:val="000000"/>
          <w:sz w:val="22"/>
        </w:rPr>
        <w:t xml:space="preserve">(306) </w:t>
      </w:r>
      <w:r>
        <w:rPr>
          <w:rFonts w:ascii="Times New Roman" w:hAnsi="Times New Roman"/>
          <w:b/>
          <w:i w:val="false"/>
          <w:color w:val="000000"/>
          <w:sz w:val="22"/>
        </w:rPr>
        <w:t xml:space="preserve">Severability clause. </w:t>
      </w:r>
      <w:r>
        <w:rPr>
          <w:rFonts w:ascii="Times New Roman" w:hAnsi="Times New Roman"/>
          <w:b w:val="false"/>
          <w:i w:val="false"/>
          <w:color w:val="000000"/>
          <w:sz w:val="22"/>
        </w:rPr>
        <w:t>If any section, provision, or part of these rules is adjudged invalid or unconstitutional, such adjudication shall not affect the validity of these rules as a whole or any section, provision, or part thereof not adjudged invalid or unconstitutional.</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306.6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306.6A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1/21/99, Notice 12/16/98—published 2/10/99, effective 3/17/99]</w:t>
      </w:r>
    </w:p>
    <w:p>
      <w:pPr>
        <w:spacing w:before="0" w:after="0"/>
        <w:ind w:left="120"/>
        <w:jc w:val="center"/>
      </w:pPr>
      <w:r>
        <w:rPr>
          <w:rFonts w:ascii="Times New Roman" w:hAnsi="Times New Roman"/>
          <w:b w:val="false"/>
          <w:i w:val="false"/>
          <w:color w:val="000000"/>
          <w:sz w:val="21"/>
        </w:rPr>
        <w:t>[Filed ARC 2392C</w:t>
      </w:r>
      <w:r>
        <w:rPr>
          <w:rFonts w:ascii="Times New Roman" w:hAnsi="Times New Roman"/>
          <w:b w:val="false"/>
          <w:i w:val="false"/>
          <w:color w:val="000000"/>
          <w:sz w:val="21"/>
        </w:rPr>
        <w:t xml:space="preserve"> (Notice ARC 2248C, IAB 11/25/15)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[Editorial change: IAC Supplement 8/11/21]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6.6.pdf" Type="http://schemas.openxmlformats.org/officeDocument/2006/relationships/hyperlink" Id="rId5"/>
    <Relationship TargetMode="External" Target="https://www.legis.iowa.gov/docs/ico/chapter/306.6.pdf" Type="http://schemas.openxmlformats.org/officeDocument/2006/relationships/hyperlink" Id="rId6"/>
    <Relationship TargetMode="External" Target="https://www.legis.iowa.gov/docs/ico/chapter/306.6A.pdf" Type="http://schemas.openxmlformats.org/officeDocument/2006/relationships/hyperlink" Id="rId7"/>
    <Relationship TargetMode="External" Target="https://www.legis.iowa.gov/docs/ico/chapter/306.5.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17A.19.pdf" Type="http://schemas.openxmlformats.org/officeDocument/2006/relationships/hyperlink" Id="rId10"/>
    <Relationship TargetMode="External" Target="https://www.legis.iowa.gov/docs/ico/chapter/306.6.pdf" Type="http://schemas.openxmlformats.org/officeDocument/2006/relationships/hyperlink" Id="rId11"/>
    <Relationship TargetMode="External" Target="https://www.legis.iowa.gov/docs/ico/chapter/306.6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